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42" w:type="dxa"/>
          <w:right w:w="142" w:type="dxa"/>
        </w:tblCellMar>
        <w:tblLook w:val="04A0" w:firstRow="1" w:lastRow="0" w:firstColumn="1" w:lastColumn="0" w:noHBand="0" w:noVBand="1"/>
      </w:tblPr>
      <w:tblGrid>
        <w:gridCol w:w="9072"/>
      </w:tblGrid>
      <w:tr w:rsidRPr="0071653E" w:rsidR="000715FE" w:rsidTr="005861AD" w14:paraId="3706044C" w14:textId="77777777">
        <w:tc>
          <w:tcPr>
            <w:tcW w:w="5000" w:type="pct"/>
            <w:shd w:val="clear" w:color="auto" w:fill="auto"/>
          </w:tcPr>
          <w:p w:rsidRPr="0071653E" w:rsidR="000715FE" w:rsidP="0071653E" w:rsidRDefault="000715FE" w14:paraId="12328431" w14:textId="63CF54FD">
            <w:pPr>
              <w:pStyle w:val="BodyText"/>
              <w:tabs>
                <w:tab w:val="left" w:pos="567"/>
                <w:tab w:val="right" w:leader="hyphen" w:pos="9356"/>
              </w:tabs>
              <w:spacing w:before="120" w:after="120"/>
              <w:jc w:val="center"/>
              <w:rPr>
                <w:b/>
                <w:sz w:val="22"/>
                <w:szCs w:val="22"/>
              </w:rPr>
            </w:pPr>
            <w:r w:rsidRPr="0071653E">
              <w:rPr>
                <w:b/>
                <w:sz w:val="22"/>
                <w:szCs w:val="22"/>
              </w:rPr>
              <w:t xml:space="preserve">VYJÁDŘENÍ AKCIONÁŘE K NÁVRHU ROZHODNUTÍ VALNÉ HROMADY MIMO ZASEDÁNÍ VALNÉ HROMADY (ROZHODOVÁNÍ PER </w:t>
            </w:r>
            <w:proofErr w:type="spellStart"/>
            <w:r w:rsidRPr="0071653E">
              <w:rPr>
                <w:b/>
                <w:sz w:val="22"/>
                <w:szCs w:val="22"/>
              </w:rPr>
              <w:t>ROLLAM</w:t>
            </w:r>
            <w:proofErr w:type="spellEnd"/>
            <w:r w:rsidRPr="0071653E">
              <w:rPr>
                <w:b/>
                <w:sz w:val="22"/>
                <w:szCs w:val="22"/>
              </w:rPr>
              <w:t>) SPOLEČNOSTI</w:t>
            </w:r>
          </w:p>
        </w:tc>
      </w:tr>
      <w:tr w:rsidRPr="0071653E" w:rsidR="00FE4132" w:rsidTr="005861AD" w14:paraId="77B8419C" w14:textId="77777777">
        <w:tc>
          <w:tcPr>
            <w:tcW w:w="5000" w:type="pct"/>
            <w:shd w:val="clear" w:color="auto" w:fill="auto"/>
          </w:tcPr>
          <w:p w:rsidRPr="0071653E" w:rsidR="0070063D" w:rsidP="0071653E" w:rsidRDefault="0070063D" w14:paraId="6A3FE804" w14:textId="242B13C2">
            <w:pPr>
              <w:pStyle w:val="BodyText"/>
              <w:tabs>
                <w:tab w:val="left" w:pos="567"/>
                <w:tab w:val="right" w:leader="hyphen" w:pos="9356"/>
              </w:tabs>
              <w:spacing w:before="120" w:after="120"/>
              <w:jc w:val="center"/>
              <w:rPr>
                <w:sz w:val="22"/>
                <w:szCs w:val="22"/>
              </w:rPr>
            </w:pPr>
            <w:r w:rsidRPr="0071653E">
              <w:rPr>
                <w:b/>
                <w:sz w:val="22"/>
                <w:szCs w:val="22"/>
              </w:rPr>
              <w:t>CZG - Česká zbrojovka Group SE</w:t>
            </w:r>
            <w:r w:rsidRPr="0071653E">
              <w:rPr>
                <w:sz w:val="22"/>
                <w:szCs w:val="22"/>
              </w:rPr>
              <w:t>,</w:t>
            </w:r>
          </w:p>
          <w:p w:rsidRPr="0071653E" w:rsidR="0070063D" w:rsidP="0071653E" w:rsidRDefault="0070063D" w14:paraId="63CE2D99" w14:textId="30B4D3B8">
            <w:pPr>
              <w:pStyle w:val="BodyText"/>
              <w:tabs>
                <w:tab w:val="left" w:pos="567"/>
                <w:tab w:val="right" w:leader="hyphen" w:pos="9356"/>
              </w:tabs>
              <w:spacing w:before="120" w:after="120"/>
              <w:jc w:val="center"/>
              <w:rPr>
                <w:b/>
                <w:sz w:val="22"/>
                <w:szCs w:val="22"/>
              </w:rPr>
            </w:pPr>
            <w:r w:rsidRPr="0071653E">
              <w:rPr>
                <w:sz w:val="22"/>
                <w:szCs w:val="22"/>
              </w:rPr>
              <w:t>se sídlem Opletalova 1284/37, Nové Město, 110 00 Praha 1, IČO: 291 51 961, zapsané v obchodním rejstříku vedeném Městským soudem v Praze, spisová značka H 962</w:t>
            </w:r>
            <w:r w:rsidRPr="0071653E">
              <w:rPr>
                <w:iCs/>
                <w:spacing w:val="-1"/>
                <w:sz w:val="22"/>
                <w:szCs w:val="22"/>
              </w:rPr>
              <w:t xml:space="preserve"> </w:t>
            </w:r>
            <w:r w:rsidRPr="0071653E">
              <w:rPr>
                <w:iCs/>
                <w:sz w:val="22"/>
                <w:szCs w:val="22"/>
              </w:rPr>
              <w:t>(„</w:t>
            </w:r>
            <w:r w:rsidRPr="0071653E">
              <w:rPr>
                <w:b/>
                <w:bCs/>
                <w:iCs/>
                <w:sz w:val="22"/>
                <w:szCs w:val="22"/>
              </w:rPr>
              <w:t>Společnost</w:t>
            </w:r>
            <w:r w:rsidRPr="0071653E">
              <w:rPr>
                <w:iCs/>
                <w:sz w:val="22"/>
                <w:szCs w:val="22"/>
              </w:rPr>
              <w:t>”)</w:t>
            </w:r>
            <w:r w:rsidRPr="0071653E">
              <w:rPr>
                <w:sz w:val="22"/>
                <w:szCs w:val="22"/>
              </w:rPr>
              <w:t>,</w:t>
            </w:r>
          </w:p>
        </w:tc>
      </w:tr>
      <w:tr w:rsidRPr="0071653E" w:rsidR="00FE4132" w:rsidTr="005861AD" w14:paraId="65C2FB4F" w14:textId="77777777">
        <w:trPr>
          <w:trHeight w:val="1601"/>
        </w:trPr>
        <w:tc>
          <w:tcPr>
            <w:tcW w:w="5000" w:type="pct"/>
            <w:shd w:val="clear" w:color="auto" w:fill="auto"/>
          </w:tcPr>
          <w:p w:rsidRPr="0071653E" w:rsidR="0070063D" w:rsidP="0071653E" w:rsidRDefault="0070063D" w14:paraId="72BA079D" w14:textId="4837AAB4">
            <w:pPr>
              <w:pStyle w:val="BodyText"/>
              <w:tabs>
                <w:tab w:val="left" w:pos="567"/>
                <w:tab w:val="right" w:leader="hyphen" w:pos="9356"/>
              </w:tabs>
              <w:spacing w:before="120" w:after="120"/>
              <w:jc w:val="both"/>
              <w:rPr>
                <w:bCs/>
                <w:iCs/>
                <w:sz w:val="22"/>
                <w:szCs w:val="22"/>
              </w:rPr>
            </w:pPr>
            <w:r w:rsidRPr="0071653E">
              <w:rPr>
                <w:sz w:val="22"/>
                <w:szCs w:val="22"/>
              </w:rPr>
              <w:t xml:space="preserve">v souladu s ustanovením § 18 a násl. zákona č. 191/2020 Sb., o některých opatřeních ke zmírnění dopadů epidemie </w:t>
            </w:r>
            <w:proofErr w:type="spellStart"/>
            <w:r w:rsidRPr="0071653E">
              <w:rPr>
                <w:sz w:val="22"/>
                <w:szCs w:val="22"/>
              </w:rPr>
              <w:t>koronaviru</w:t>
            </w:r>
            <w:proofErr w:type="spellEnd"/>
            <w:r w:rsidRPr="0071653E">
              <w:rPr>
                <w:sz w:val="22"/>
                <w:szCs w:val="22"/>
              </w:rPr>
              <w:t xml:space="preserve"> </w:t>
            </w:r>
            <w:proofErr w:type="spellStart"/>
            <w:r w:rsidRPr="0071653E">
              <w:rPr>
                <w:sz w:val="22"/>
                <w:szCs w:val="22"/>
              </w:rPr>
              <w:t>SARS</w:t>
            </w:r>
            <w:proofErr w:type="spellEnd"/>
            <w:r w:rsidRPr="0071653E">
              <w:rPr>
                <w:sz w:val="22"/>
                <w:szCs w:val="22"/>
              </w:rPr>
              <w:t xml:space="preserve"> CoV-2 na osoby účastnící se soudního řízení, poškozené, oběti trestných činů a právnické osoby a o změně insolvenčního zákona a občanského soudního řádu, ve znění pozdějších předpisů, v návaznosti na ustanovení </w:t>
            </w:r>
            <w:r w:rsidRPr="0071653E">
              <w:rPr>
                <w:iCs/>
                <w:sz w:val="22"/>
                <w:szCs w:val="22"/>
              </w:rPr>
              <w:t xml:space="preserve">§ 418 a násl. </w:t>
            </w:r>
            <w:r w:rsidRPr="0071653E">
              <w:rPr>
                <w:bCs/>
                <w:iCs/>
                <w:sz w:val="22"/>
                <w:szCs w:val="22"/>
              </w:rPr>
              <w:t>zákona č. 90/2012 Sb., o obchodních společnostech a družstvech (zákon o obchodních korporacích), ve znění pozdějších předpisů</w:t>
            </w:r>
            <w:r w:rsidRPr="0071653E" w:rsidR="000F13F8">
              <w:rPr>
                <w:bCs/>
                <w:iCs/>
                <w:sz w:val="22"/>
                <w:szCs w:val="22"/>
              </w:rPr>
              <w:t>.</w:t>
            </w:r>
          </w:p>
        </w:tc>
      </w:tr>
      <w:tr w:rsidRPr="0071653E" w:rsidR="00FE4132" w:rsidTr="005861AD" w14:paraId="66179EC9" w14:textId="77777777">
        <w:tc>
          <w:tcPr>
            <w:tcW w:w="5000" w:type="pct"/>
            <w:shd w:val="clear" w:color="auto" w:fill="auto"/>
          </w:tcPr>
          <w:p w:rsidRPr="0071653E" w:rsidR="0035433E" w:rsidP="0071653E" w:rsidRDefault="0035433E" w14:paraId="22B20BAA" w14:textId="77777777">
            <w:pPr>
              <w:pStyle w:val="BodyText"/>
              <w:spacing w:before="120" w:after="120"/>
              <w:jc w:val="both"/>
              <w:rPr>
                <w:sz w:val="22"/>
                <w:szCs w:val="22"/>
              </w:rPr>
            </w:pPr>
          </w:p>
          <w:p w:rsidRPr="0071653E" w:rsidR="00FE4132" w:rsidP="0071653E" w:rsidRDefault="00FE4132" w14:paraId="4A86BBE5" w14:textId="3FA7C80A">
            <w:pPr>
              <w:pStyle w:val="BodyText"/>
              <w:spacing w:before="120" w:after="120"/>
              <w:jc w:val="both"/>
              <w:rPr>
                <w:sz w:val="22"/>
                <w:szCs w:val="22"/>
              </w:rPr>
            </w:pPr>
            <w:r w:rsidRPr="0071653E">
              <w:rPr>
                <w:sz w:val="22"/>
                <w:szCs w:val="22"/>
              </w:rPr>
              <w:t>………………………………………………………………………………………………………...</w:t>
            </w:r>
          </w:p>
          <w:p w:rsidRPr="0071653E" w:rsidR="00FE4132" w:rsidP="0071653E" w:rsidRDefault="00FE4132" w14:paraId="1A91CAA3" w14:textId="66CE8927">
            <w:pPr>
              <w:pStyle w:val="BodyText"/>
              <w:spacing w:before="120" w:after="120"/>
              <w:jc w:val="both"/>
              <w:rPr>
                <w:sz w:val="22"/>
                <w:szCs w:val="22"/>
              </w:rPr>
            </w:pPr>
            <w:r w:rsidRPr="0071653E">
              <w:rPr>
                <w:sz w:val="22"/>
                <w:szCs w:val="22"/>
              </w:rPr>
              <w:t>Jméno a příjmení / obchodní firma akcionáře</w:t>
            </w:r>
          </w:p>
        </w:tc>
      </w:tr>
      <w:tr w:rsidRPr="0071653E" w:rsidR="00FE4132" w:rsidTr="005861AD" w14:paraId="59FAF3D8" w14:textId="77777777">
        <w:tc>
          <w:tcPr>
            <w:tcW w:w="5000" w:type="pct"/>
            <w:shd w:val="clear" w:color="auto" w:fill="auto"/>
          </w:tcPr>
          <w:p w:rsidRPr="0071653E" w:rsidR="00FE4132" w:rsidP="0071653E" w:rsidRDefault="00FE4132" w14:paraId="3A064B21" w14:textId="77777777">
            <w:pPr>
              <w:pStyle w:val="BodyText"/>
              <w:spacing w:before="120" w:after="120"/>
              <w:jc w:val="both"/>
              <w:rPr>
                <w:sz w:val="22"/>
                <w:szCs w:val="22"/>
              </w:rPr>
            </w:pPr>
          </w:p>
          <w:p w:rsidRPr="0071653E" w:rsidR="00FE4132" w:rsidP="0071653E" w:rsidRDefault="00FE4132" w14:paraId="31578562" w14:textId="35DEA901">
            <w:pPr>
              <w:pStyle w:val="BodyText"/>
              <w:spacing w:before="120" w:after="120"/>
              <w:jc w:val="both"/>
              <w:rPr>
                <w:sz w:val="22"/>
                <w:szCs w:val="22"/>
              </w:rPr>
            </w:pPr>
            <w:r w:rsidRPr="0071653E">
              <w:rPr>
                <w:sz w:val="22"/>
                <w:szCs w:val="22"/>
              </w:rPr>
              <w:t>………………………………………………………………………………………………………...</w:t>
            </w:r>
          </w:p>
          <w:p w:rsidRPr="0071653E" w:rsidR="00FE4132" w:rsidP="0071653E" w:rsidRDefault="00FE4132" w14:paraId="3333817A" w14:textId="72CADF33">
            <w:pPr>
              <w:pStyle w:val="BodyText"/>
              <w:spacing w:before="120" w:after="120"/>
              <w:jc w:val="both"/>
              <w:rPr>
                <w:sz w:val="22"/>
                <w:szCs w:val="22"/>
              </w:rPr>
            </w:pPr>
            <w:r w:rsidRPr="0071653E">
              <w:rPr>
                <w:sz w:val="22"/>
                <w:szCs w:val="22"/>
              </w:rPr>
              <w:t>Datum narození</w:t>
            </w:r>
            <w:r w:rsidRPr="0071653E" w:rsidR="006A0A81">
              <w:rPr>
                <w:sz w:val="22"/>
                <w:szCs w:val="22"/>
              </w:rPr>
              <w:t xml:space="preserve"> </w:t>
            </w:r>
            <w:r w:rsidRPr="0071653E">
              <w:rPr>
                <w:sz w:val="22"/>
                <w:szCs w:val="22"/>
              </w:rPr>
              <w:t>/ identifikační číslo akcionáře</w:t>
            </w:r>
          </w:p>
        </w:tc>
      </w:tr>
      <w:tr w:rsidRPr="0071653E" w:rsidR="00FE4132" w:rsidTr="005861AD" w14:paraId="6B56B393" w14:textId="77777777">
        <w:trPr>
          <w:trHeight w:val="80"/>
        </w:trPr>
        <w:tc>
          <w:tcPr>
            <w:tcW w:w="5000" w:type="pct"/>
            <w:shd w:val="clear" w:color="auto" w:fill="auto"/>
          </w:tcPr>
          <w:p w:rsidRPr="0071653E" w:rsidR="00FE4132" w:rsidP="0071653E" w:rsidRDefault="00FE4132" w14:paraId="45B8FF00" w14:textId="77777777">
            <w:pPr>
              <w:pStyle w:val="BodyText"/>
              <w:spacing w:before="120" w:after="120"/>
              <w:jc w:val="both"/>
              <w:rPr>
                <w:sz w:val="22"/>
                <w:szCs w:val="22"/>
              </w:rPr>
            </w:pPr>
          </w:p>
          <w:p w:rsidRPr="0071653E" w:rsidR="00FE4132" w:rsidP="0071653E" w:rsidRDefault="00FE4132" w14:paraId="76B18E5E" w14:textId="5FB88AFD">
            <w:pPr>
              <w:pStyle w:val="BodyText"/>
              <w:spacing w:before="120" w:after="120"/>
              <w:jc w:val="both"/>
              <w:rPr>
                <w:sz w:val="22"/>
                <w:szCs w:val="22"/>
              </w:rPr>
            </w:pPr>
            <w:r w:rsidRPr="0071653E">
              <w:rPr>
                <w:sz w:val="22"/>
                <w:szCs w:val="22"/>
              </w:rPr>
              <w:t>………………………………………………………………………………………………………...</w:t>
            </w:r>
          </w:p>
          <w:p w:rsidRPr="0071653E" w:rsidR="00FE4132" w:rsidP="0071653E" w:rsidRDefault="005861AD" w14:paraId="0B698D19" w14:textId="5A838163">
            <w:pPr>
              <w:pStyle w:val="BodyText"/>
              <w:spacing w:before="120" w:after="120"/>
              <w:jc w:val="both"/>
              <w:rPr>
                <w:sz w:val="22"/>
                <w:szCs w:val="22"/>
              </w:rPr>
            </w:pPr>
            <w:r w:rsidRPr="0071653E">
              <w:rPr>
                <w:sz w:val="22"/>
                <w:szCs w:val="22"/>
              </w:rPr>
              <w:t>Trvalé b</w:t>
            </w:r>
            <w:r w:rsidRPr="0071653E" w:rsidR="00FE4132">
              <w:rPr>
                <w:sz w:val="22"/>
                <w:szCs w:val="22"/>
              </w:rPr>
              <w:t>ydliště</w:t>
            </w:r>
            <w:r w:rsidRPr="0071653E" w:rsidR="006A0A81">
              <w:rPr>
                <w:sz w:val="22"/>
                <w:szCs w:val="22"/>
              </w:rPr>
              <w:t xml:space="preserve"> </w:t>
            </w:r>
            <w:r w:rsidRPr="0071653E" w:rsidR="00FE4132">
              <w:rPr>
                <w:sz w:val="22"/>
                <w:szCs w:val="22"/>
              </w:rPr>
              <w:t>/ sídlo akcionáře</w:t>
            </w:r>
          </w:p>
        </w:tc>
      </w:tr>
      <w:tr w:rsidRPr="0071653E" w:rsidR="00FE4132" w:rsidTr="005861AD" w14:paraId="7BA91586" w14:textId="77777777">
        <w:tc>
          <w:tcPr>
            <w:tcW w:w="5000" w:type="pct"/>
            <w:shd w:val="clear" w:color="auto" w:fill="auto"/>
          </w:tcPr>
          <w:p w:rsidRPr="0071653E" w:rsidR="00FE4132" w:rsidP="0071653E" w:rsidRDefault="00FE4132" w14:paraId="6AF63881" w14:textId="77777777">
            <w:pPr>
              <w:pStyle w:val="BodyText"/>
              <w:tabs>
                <w:tab w:val="right" w:leader="hyphen" w:pos="9072"/>
              </w:tabs>
              <w:spacing w:before="120" w:after="120"/>
              <w:jc w:val="both"/>
              <w:rPr>
                <w:sz w:val="22"/>
                <w:szCs w:val="22"/>
              </w:rPr>
            </w:pPr>
          </w:p>
          <w:p w:rsidRPr="0071653E" w:rsidR="00FE4132" w:rsidP="0071653E" w:rsidRDefault="00FE4132" w14:paraId="5B2A94D5" w14:textId="201F4712">
            <w:pPr>
              <w:pStyle w:val="BodyText"/>
              <w:tabs>
                <w:tab w:val="right" w:leader="hyphen" w:pos="9072"/>
              </w:tabs>
              <w:spacing w:before="120" w:after="120"/>
              <w:jc w:val="both"/>
              <w:rPr>
                <w:sz w:val="22"/>
                <w:szCs w:val="22"/>
              </w:rPr>
            </w:pPr>
            <w:r w:rsidRPr="0071653E">
              <w:rPr>
                <w:sz w:val="22"/>
                <w:szCs w:val="22"/>
              </w:rPr>
              <w:t>………………………………………………………………………………………………………...</w:t>
            </w:r>
          </w:p>
          <w:p w:rsidRPr="0071653E" w:rsidR="00FE4132" w:rsidP="0071653E" w:rsidRDefault="00FE4132" w14:paraId="7833F0C8" w14:textId="0B9C8FAB">
            <w:pPr>
              <w:pStyle w:val="BodyText"/>
              <w:tabs>
                <w:tab w:val="right" w:leader="hyphen" w:pos="9072"/>
              </w:tabs>
              <w:spacing w:before="120" w:after="120"/>
              <w:jc w:val="both"/>
              <w:rPr>
                <w:sz w:val="22"/>
                <w:szCs w:val="22"/>
              </w:rPr>
            </w:pPr>
            <w:r w:rsidRPr="0071653E">
              <w:rPr>
                <w:sz w:val="22"/>
                <w:szCs w:val="22"/>
              </w:rPr>
              <w:t>Počet a jmenovitá hodnota akcií, kterými akcionář hlasuje</w:t>
            </w:r>
          </w:p>
        </w:tc>
      </w:tr>
      <w:tr w:rsidRPr="0071653E" w:rsidR="00FE4132" w:rsidTr="005861AD" w14:paraId="475E1263" w14:textId="77777777">
        <w:tc>
          <w:tcPr>
            <w:tcW w:w="5000" w:type="pct"/>
            <w:shd w:val="clear" w:color="auto" w:fill="auto"/>
          </w:tcPr>
          <w:p w:rsidRPr="0071653E" w:rsidR="00FE4132" w:rsidP="0071653E" w:rsidRDefault="00FE4132" w14:paraId="11D8DB34" w14:textId="16AAF36F">
            <w:pPr>
              <w:pStyle w:val="BodyText"/>
              <w:tabs>
                <w:tab w:val="right" w:leader="hyphen" w:pos="9072"/>
              </w:tabs>
              <w:spacing w:before="120" w:after="120"/>
              <w:jc w:val="both"/>
              <w:rPr>
                <w:sz w:val="22"/>
                <w:szCs w:val="22"/>
              </w:rPr>
            </w:pPr>
          </w:p>
        </w:tc>
      </w:tr>
      <w:tr w:rsidRPr="0071653E" w:rsidR="00FE4132" w:rsidTr="005861AD" w14:paraId="4584697F" w14:textId="77777777">
        <w:tc>
          <w:tcPr>
            <w:tcW w:w="5000" w:type="pct"/>
            <w:shd w:val="clear" w:color="auto" w:fill="auto"/>
          </w:tcPr>
          <w:p w:rsidRPr="0071653E" w:rsidR="00FE4132" w:rsidP="0071653E" w:rsidRDefault="00FE4132" w14:paraId="4E3AEC34" w14:textId="1FBF2A80">
            <w:pPr>
              <w:pStyle w:val="BodyText"/>
              <w:tabs>
                <w:tab w:val="right" w:leader="hyphen" w:pos="9072"/>
              </w:tabs>
              <w:spacing w:before="120" w:after="120"/>
              <w:jc w:val="both"/>
              <w:rPr>
                <w:i/>
                <w:iCs/>
                <w:sz w:val="22"/>
                <w:szCs w:val="22"/>
              </w:rPr>
            </w:pPr>
            <w:r w:rsidRPr="0071653E">
              <w:rPr>
                <w:i/>
                <w:iCs/>
                <w:sz w:val="22"/>
                <w:szCs w:val="22"/>
              </w:rPr>
              <w:t>V případě, že je akcionář zastupován, je třeba uvést údaje o zástupci:</w:t>
            </w:r>
          </w:p>
        </w:tc>
      </w:tr>
      <w:tr w:rsidRPr="0071653E" w:rsidR="00FE4132" w:rsidTr="005861AD" w14:paraId="2C92CC54" w14:textId="77777777">
        <w:tc>
          <w:tcPr>
            <w:tcW w:w="5000" w:type="pct"/>
            <w:shd w:val="clear" w:color="auto" w:fill="auto"/>
          </w:tcPr>
          <w:p w:rsidRPr="0071653E" w:rsidR="00FE4132" w:rsidP="0071653E" w:rsidRDefault="00FE4132" w14:paraId="117547AD" w14:textId="77777777">
            <w:pPr>
              <w:pStyle w:val="BodyText"/>
              <w:tabs>
                <w:tab w:val="right" w:leader="hyphen" w:pos="9072"/>
              </w:tabs>
              <w:spacing w:before="120" w:after="120"/>
              <w:jc w:val="both"/>
              <w:rPr>
                <w:sz w:val="22"/>
                <w:szCs w:val="22"/>
              </w:rPr>
            </w:pPr>
          </w:p>
          <w:p w:rsidRPr="0071653E" w:rsidR="00FE4132" w:rsidP="0071653E" w:rsidRDefault="00FE4132" w14:paraId="7FAE83D9" w14:textId="561C299D">
            <w:pPr>
              <w:pStyle w:val="BodyText"/>
              <w:tabs>
                <w:tab w:val="right" w:leader="hyphen" w:pos="9072"/>
              </w:tabs>
              <w:spacing w:before="120" w:after="120"/>
              <w:jc w:val="both"/>
              <w:rPr>
                <w:sz w:val="22"/>
                <w:szCs w:val="22"/>
              </w:rPr>
            </w:pPr>
            <w:r w:rsidRPr="0071653E">
              <w:rPr>
                <w:sz w:val="22"/>
                <w:szCs w:val="22"/>
              </w:rPr>
              <w:t>………………………………………………………………………………………………………...</w:t>
            </w:r>
          </w:p>
          <w:p w:rsidRPr="0071653E" w:rsidR="00FE4132" w:rsidP="0071653E" w:rsidRDefault="00FE4132" w14:paraId="55FB810E" w14:textId="31B43784">
            <w:pPr>
              <w:pStyle w:val="BodyText"/>
              <w:tabs>
                <w:tab w:val="right" w:leader="hyphen" w:pos="9072"/>
              </w:tabs>
              <w:spacing w:before="120" w:after="120"/>
              <w:jc w:val="both"/>
              <w:rPr>
                <w:sz w:val="22"/>
                <w:szCs w:val="22"/>
              </w:rPr>
            </w:pPr>
            <w:r w:rsidRPr="0071653E">
              <w:rPr>
                <w:sz w:val="22"/>
                <w:szCs w:val="22"/>
              </w:rPr>
              <w:t>Jméno a příjmení</w:t>
            </w:r>
            <w:r w:rsidRPr="0071653E" w:rsidR="00A82A0D">
              <w:rPr>
                <w:sz w:val="22"/>
                <w:szCs w:val="22"/>
              </w:rPr>
              <w:t xml:space="preserve"> / obchodní firma zástupce akcionáře</w:t>
            </w:r>
          </w:p>
        </w:tc>
      </w:tr>
      <w:tr w:rsidRPr="0071653E" w:rsidR="00FE4132" w:rsidTr="005861AD" w14:paraId="236864B3" w14:textId="77777777">
        <w:tc>
          <w:tcPr>
            <w:tcW w:w="5000" w:type="pct"/>
            <w:shd w:val="clear" w:color="auto" w:fill="auto"/>
          </w:tcPr>
          <w:p w:rsidRPr="0071653E" w:rsidR="00FE4132" w:rsidP="0071653E" w:rsidRDefault="00FE4132" w14:paraId="25D5B837" w14:textId="77777777">
            <w:pPr>
              <w:pStyle w:val="BodyText"/>
              <w:tabs>
                <w:tab w:val="right" w:leader="hyphen" w:pos="9072"/>
              </w:tabs>
              <w:spacing w:before="120" w:after="120"/>
              <w:jc w:val="both"/>
              <w:rPr>
                <w:sz w:val="22"/>
                <w:szCs w:val="22"/>
              </w:rPr>
            </w:pPr>
          </w:p>
          <w:p w:rsidRPr="0071653E" w:rsidR="00FE4132" w:rsidP="0071653E" w:rsidRDefault="00FE4132" w14:paraId="32DA8AA7" w14:textId="5C0ACFE0">
            <w:pPr>
              <w:pStyle w:val="BodyText"/>
              <w:tabs>
                <w:tab w:val="right" w:leader="hyphen" w:pos="9072"/>
              </w:tabs>
              <w:spacing w:before="120" w:after="120"/>
              <w:jc w:val="both"/>
              <w:rPr>
                <w:sz w:val="22"/>
                <w:szCs w:val="22"/>
              </w:rPr>
            </w:pPr>
            <w:r w:rsidRPr="0071653E">
              <w:rPr>
                <w:sz w:val="22"/>
                <w:szCs w:val="22"/>
              </w:rPr>
              <w:t>………………………………………………………………………………………………………...</w:t>
            </w:r>
          </w:p>
          <w:p w:rsidRPr="0071653E" w:rsidR="00FE4132" w:rsidP="0071653E" w:rsidRDefault="00FE4132" w14:paraId="4CCE5A3B" w14:textId="7419F7B6">
            <w:pPr>
              <w:pStyle w:val="BodyText"/>
              <w:tabs>
                <w:tab w:val="right" w:leader="hyphen" w:pos="9072"/>
              </w:tabs>
              <w:spacing w:before="120" w:after="120"/>
              <w:jc w:val="both"/>
              <w:rPr>
                <w:sz w:val="22"/>
                <w:szCs w:val="22"/>
              </w:rPr>
            </w:pPr>
            <w:r w:rsidRPr="0071653E">
              <w:rPr>
                <w:sz w:val="22"/>
                <w:szCs w:val="22"/>
              </w:rPr>
              <w:t>Datum narození</w:t>
            </w:r>
            <w:r w:rsidRPr="0071653E" w:rsidR="00A82A0D">
              <w:rPr>
                <w:sz w:val="22"/>
                <w:szCs w:val="22"/>
              </w:rPr>
              <w:t xml:space="preserve"> / identifikační číslo zástupce akcionáře</w:t>
            </w:r>
          </w:p>
        </w:tc>
      </w:tr>
      <w:tr w:rsidRPr="0071653E" w:rsidR="00FE4132" w:rsidTr="005861AD" w14:paraId="6ABA0108" w14:textId="77777777">
        <w:tc>
          <w:tcPr>
            <w:tcW w:w="5000" w:type="pct"/>
            <w:shd w:val="clear" w:color="auto" w:fill="auto"/>
          </w:tcPr>
          <w:p w:rsidRPr="0071653E" w:rsidR="00FE4132" w:rsidP="0071653E" w:rsidRDefault="00FE4132" w14:paraId="26738269" w14:textId="77777777">
            <w:pPr>
              <w:pStyle w:val="BodyText"/>
              <w:keepLines/>
              <w:tabs>
                <w:tab w:val="right" w:leader="hyphen" w:pos="9072"/>
              </w:tabs>
              <w:spacing w:before="120" w:after="120"/>
              <w:jc w:val="both"/>
              <w:rPr>
                <w:sz w:val="22"/>
                <w:szCs w:val="22"/>
              </w:rPr>
            </w:pPr>
          </w:p>
          <w:p w:rsidRPr="0071653E" w:rsidR="00FE4132" w:rsidP="0071653E" w:rsidRDefault="00FE4132" w14:paraId="496D44A4" w14:textId="57A31543">
            <w:pPr>
              <w:pStyle w:val="BodyText"/>
              <w:keepLines/>
              <w:tabs>
                <w:tab w:val="right" w:leader="hyphen" w:pos="9072"/>
              </w:tabs>
              <w:spacing w:before="120" w:after="120"/>
              <w:jc w:val="both"/>
              <w:rPr>
                <w:sz w:val="22"/>
                <w:szCs w:val="22"/>
              </w:rPr>
            </w:pPr>
            <w:r w:rsidRPr="0071653E">
              <w:rPr>
                <w:sz w:val="22"/>
                <w:szCs w:val="22"/>
              </w:rPr>
              <w:t>………………………………………………………………………………………………………...</w:t>
            </w:r>
          </w:p>
          <w:p w:rsidRPr="0071653E" w:rsidR="00FE4132" w:rsidP="0071653E" w:rsidRDefault="005861AD" w14:paraId="57D6E91E" w14:textId="052DA892">
            <w:pPr>
              <w:pStyle w:val="BodyText"/>
              <w:keepLines/>
              <w:tabs>
                <w:tab w:val="right" w:leader="hyphen" w:pos="9072"/>
              </w:tabs>
              <w:spacing w:before="120" w:after="120"/>
              <w:jc w:val="both"/>
              <w:rPr>
                <w:sz w:val="22"/>
                <w:szCs w:val="22"/>
              </w:rPr>
            </w:pPr>
            <w:r w:rsidRPr="0071653E">
              <w:rPr>
                <w:sz w:val="22"/>
                <w:szCs w:val="22"/>
              </w:rPr>
              <w:t>Trvalé b</w:t>
            </w:r>
            <w:r w:rsidRPr="0071653E" w:rsidR="00FE4132">
              <w:rPr>
                <w:sz w:val="22"/>
                <w:szCs w:val="22"/>
              </w:rPr>
              <w:t>ydliště</w:t>
            </w:r>
            <w:r w:rsidRPr="0071653E" w:rsidR="00A82A0D">
              <w:rPr>
                <w:sz w:val="22"/>
                <w:szCs w:val="22"/>
              </w:rPr>
              <w:t xml:space="preserve"> / sídlo zástupce akcionáře</w:t>
            </w:r>
          </w:p>
        </w:tc>
      </w:tr>
    </w:tbl>
    <w:p w:rsidRPr="0071653E" w:rsidR="0070063D" w:rsidP="0071653E" w:rsidRDefault="0070063D" w14:paraId="4C6A4384" w14:textId="77777777">
      <w:pPr>
        <w:spacing w:before="120" w:after="120"/>
      </w:pPr>
    </w:p>
    <w:tbl>
      <w:tblPr>
        <w:tblW w:w="5001" w:type="pct"/>
        <w:tblCellMar>
          <w:left w:w="142" w:type="dxa"/>
          <w:right w:w="142" w:type="dxa"/>
        </w:tblCellMar>
        <w:tblLook w:val="04A0" w:firstRow="1" w:lastRow="0" w:firstColumn="1" w:lastColumn="0" w:noHBand="0" w:noVBand="1"/>
      </w:tblPr>
      <w:tblGrid>
        <w:gridCol w:w="5670"/>
        <w:gridCol w:w="1702"/>
        <w:gridCol w:w="1702"/>
      </w:tblGrid>
      <w:tr w:rsidRPr="0071653E" w:rsidR="000F13F8" w:rsidTr="0070063D" w14:paraId="170979ED" w14:textId="77777777">
        <w:tc>
          <w:tcPr>
            <w:tcW w:w="5000" w:type="pct"/>
            <w:gridSpan w:val="3"/>
            <w:shd w:val="clear" w:color="auto" w:fill="auto"/>
          </w:tcPr>
          <w:p w:rsidRPr="0071653E" w:rsidR="000F13F8" w:rsidP="0071653E" w:rsidRDefault="000715FE" w14:paraId="1025D92E" w14:textId="7D3F0A6D">
            <w:pPr>
              <w:pStyle w:val="BodyText"/>
              <w:tabs>
                <w:tab w:val="left" w:pos="567"/>
                <w:tab w:val="right" w:leader="hyphen" w:pos="9356"/>
              </w:tabs>
              <w:spacing w:before="120" w:after="120"/>
              <w:jc w:val="center"/>
              <w:rPr>
                <w:b/>
                <w:sz w:val="22"/>
                <w:szCs w:val="22"/>
              </w:rPr>
            </w:pPr>
            <w:r w:rsidRPr="0071653E">
              <w:rPr>
                <w:b/>
                <w:sz w:val="22"/>
                <w:szCs w:val="22"/>
              </w:rPr>
              <w:lastRenderedPageBreak/>
              <w:t xml:space="preserve">VYJÁDŘENÍ AKCIONÁŘE K NÁVRHU ROZHODNUTÍ VALNÉ HROMADY MIMO ZASEDÁNÍ VALNÉ HROMADY (ROZHODOVÁNÍ PER </w:t>
            </w:r>
            <w:proofErr w:type="spellStart"/>
            <w:r w:rsidRPr="0071653E">
              <w:rPr>
                <w:b/>
                <w:sz w:val="22"/>
                <w:szCs w:val="22"/>
              </w:rPr>
              <w:t>ROLLAM</w:t>
            </w:r>
            <w:proofErr w:type="spellEnd"/>
            <w:r w:rsidRPr="0071653E">
              <w:rPr>
                <w:b/>
                <w:sz w:val="22"/>
                <w:szCs w:val="22"/>
              </w:rPr>
              <w:t>) SPOLEČNOSTI</w:t>
            </w:r>
          </w:p>
        </w:tc>
      </w:tr>
      <w:tr w:rsidRPr="0071653E" w:rsidR="000715FE" w:rsidTr="0070063D" w14:paraId="4AC5AD86" w14:textId="77777777">
        <w:tc>
          <w:tcPr>
            <w:tcW w:w="5000" w:type="pct"/>
            <w:gridSpan w:val="3"/>
            <w:shd w:val="clear" w:color="auto" w:fill="auto"/>
          </w:tcPr>
          <w:p w:rsidRPr="0071653E" w:rsidR="000715FE" w:rsidP="0071653E" w:rsidRDefault="000715FE" w14:paraId="3AB72898" w14:textId="77777777">
            <w:pPr>
              <w:pStyle w:val="BodyText"/>
              <w:tabs>
                <w:tab w:val="left" w:pos="567"/>
                <w:tab w:val="right" w:leader="hyphen" w:pos="9356"/>
              </w:tabs>
              <w:spacing w:before="120" w:after="120"/>
              <w:jc w:val="center"/>
              <w:rPr>
                <w:sz w:val="22"/>
                <w:szCs w:val="22"/>
              </w:rPr>
            </w:pPr>
            <w:r w:rsidRPr="0071653E">
              <w:rPr>
                <w:b/>
                <w:sz w:val="22"/>
                <w:szCs w:val="22"/>
              </w:rPr>
              <w:t>CZG - Česká zbrojovka Group SE</w:t>
            </w:r>
            <w:r w:rsidRPr="0071653E">
              <w:rPr>
                <w:sz w:val="22"/>
                <w:szCs w:val="22"/>
              </w:rPr>
              <w:t>,</w:t>
            </w:r>
          </w:p>
          <w:p w:rsidRPr="0071653E" w:rsidR="000715FE" w:rsidP="0071653E" w:rsidRDefault="000715FE" w14:paraId="55B2E345" w14:textId="1F9D338D">
            <w:pPr>
              <w:pStyle w:val="BodyText"/>
              <w:tabs>
                <w:tab w:val="left" w:pos="567"/>
                <w:tab w:val="right" w:leader="hyphen" w:pos="9356"/>
              </w:tabs>
              <w:spacing w:before="120" w:after="120"/>
              <w:jc w:val="center"/>
              <w:rPr>
                <w:b/>
                <w:sz w:val="22"/>
                <w:szCs w:val="22"/>
              </w:rPr>
            </w:pPr>
            <w:r w:rsidRPr="0071653E">
              <w:rPr>
                <w:sz w:val="22"/>
                <w:szCs w:val="22"/>
              </w:rPr>
              <w:t>se sídlem Opletalova 1284/37, Nové Město, 110 00 Praha 1, IČO: 291 51 961, zapsané v obchodním rejstříku vedeném Městským soudem v Praze, spisová značka H 962</w:t>
            </w:r>
            <w:r w:rsidRPr="0071653E">
              <w:rPr>
                <w:iCs/>
                <w:spacing w:val="-1"/>
                <w:sz w:val="22"/>
                <w:szCs w:val="22"/>
              </w:rPr>
              <w:t xml:space="preserve"> </w:t>
            </w:r>
            <w:r w:rsidRPr="0071653E">
              <w:rPr>
                <w:iCs/>
                <w:sz w:val="22"/>
                <w:szCs w:val="22"/>
              </w:rPr>
              <w:t>(„</w:t>
            </w:r>
            <w:r w:rsidRPr="0071653E">
              <w:rPr>
                <w:b/>
                <w:bCs/>
                <w:iCs/>
                <w:sz w:val="22"/>
                <w:szCs w:val="22"/>
              </w:rPr>
              <w:t>Společnost</w:t>
            </w:r>
            <w:r w:rsidRPr="0071653E">
              <w:rPr>
                <w:iCs/>
                <w:sz w:val="22"/>
                <w:szCs w:val="22"/>
              </w:rPr>
              <w:t>”)</w:t>
            </w:r>
            <w:r w:rsidRPr="0071653E">
              <w:rPr>
                <w:sz w:val="22"/>
                <w:szCs w:val="22"/>
              </w:rPr>
              <w:t>,</w:t>
            </w:r>
          </w:p>
        </w:tc>
      </w:tr>
      <w:tr w:rsidRPr="0071653E" w:rsidR="000715FE" w:rsidTr="0070063D" w14:paraId="14B4AFD5" w14:textId="77777777">
        <w:trPr>
          <w:trHeight w:val="1601"/>
        </w:trPr>
        <w:tc>
          <w:tcPr>
            <w:tcW w:w="5000" w:type="pct"/>
            <w:gridSpan w:val="3"/>
            <w:shd w:val="clear" w:color="auto" w:fill="auto"/>
          </w:tcPr>
          <w:p w:rsidRPr="0071653E" w:rsidR="000715FE" w:rsidP="0071653E" w:rsidRDefault="000715FE" w14:paraId="156B9D5C" w14:textId="77777777">
            <w:pPr>
              <w:pStyle w:val="BodyText"/>
              <w:tabs>
                <w:tab w:val="left" w:pos="567"/>
                <w:tab w:val="right" w:leader="hyphen" w:pos="9356"/>
              </w:tabs>
              <w:spacing w:before="120" w:after="120"/>
              <w:jc w:val="both"/>
              <w:rPr>
                <w:bCs/>
                <w:iCs/>
                <w:sz w:val="22"/>
                <w:szCs w:val="22"/>
              </w:rPr>
            </w:pPr>
            <w:r w:rsidRPr="0071653E">
              <w:rPr>
                <w:sz w:val="22"/>
                <w:szCs w:val="22"/>
              </w:rPr>
              <w:t xml:space="preserve">v souladu s ustanovením § 18 a násl. zákona č. 191/2020 Sb., o některých opatřeních ke zmírnění dopadů epidemie </w:t>
            </w:r>
            <w:proofErr w:type="spellStart"/>
            <w:r w:rsidRPr="0071653E">
              <w:rPr>
                <w:sz w:val="22"/>
                <w:szCs w:val="22"/>
              </w:rPr>
              <w:t>koronaviru</w:t>
            </w:r>
            <w:proofErr w:type="spellEnd"/>
            <w:r w:rsidRPr="0071653E">
              <w:rPr>
                <w:sz w:val="22"/>
                <w:szCs w:val="22"/>
              </w:rPr>
              <w:t xml:space="preserve"> </w:t>
            </w:r>
            <w:proofErr w:type="spellStart"/>
            <w:r w:rsidRPr="0071653E">
              <w:rPr>
                <w:sz w:val="22"/>
                <w:szCs w:val="22"/>
              </w:rPr>
              <w:t>SARS</w:t>
            </w:r>
            <w:proofErr w:type="spellEnd"/>
            <w:r w:rsidRPr="0071653E">
              <w:rPr>
                <w:sz w:val="22"/>
                <w:szCs w:val="22"/>
              </w:rPr>
              <w:t xml:space="preserve"> CoV-2 na osoby účastnící se soudního řízení, poškozené, oběti trestných činů a právnické osoby a o změně insolvenčního zákona a občanského soudního řádu, ve znění pozdějších předpisů, v návaznosti na ustanovení </w:t>
            </w:r>
            <w:r w:rsidRPr="0071653E">
              <w:rPr>
                <w:iCs/>
                <w:sz w:val="22"/>
                <w:szCs w:val="22"/>
              </w:rPr>
              <w:t xml:space="preserve">§ 418 a násl. </w:t>
            </w:r>
            <w:r w:rsidRPr="0071653E">
              <w:rPr>
                <w:bCs/>
                <w:iCs/>
                <w:sz w:val="22"/>
                <w:szCs w:val="22"/>
              </w:rPr>
              <w:t>zákona č. 90/2012 Sb., o obchodních společnostech a družstvech (zákon o obchodních korporacích), ve znění pozdějších předpisů.</w:t>
            </w:r>
          </w:p>
          <w:p w:rsidRPr="0071653E" w:rsidR="000715FE" w:rsidP="0071653E" w:rsidRDefault="000715FE" w14:paraId="1C9ED742" w14:textId="6B3CC557">
            <w:pPr>
              <w:pStyle w:val="BodyText"/>
              <w:tabs>
                <w:tab w:val="left" w:pos="567"/>
                <w:tab w:val="right" w:leader="hyphen" w:pos="9356"/>
              </w:tabs>
              <w:spacing w:before="120" w:after="120"/>
              <w:jc w:val="both"/>
              <w:rPr>
                <w:bCs/>
                <w:iCs/>
                <w:sz w:val="22"/>
                <w:szCs w:val="22"/>
              </w:rPr>
            </w:pPr>
          </w:p>
        </w:tc>
      </w:tr>
      <w:tr w:rsidRPr="0071653E" w:rsidR="00FE4132" w:rsidTr="0070063D" w14:paraId="1EF0C4E1" w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E2D3B8"/>
          </w:tcPr>
          <w:p w:rsidRPr="0071653E" w:rsidR="00FE4132" w:rsidP="0071653E" w:rsidRDefault="00E87B9D" w14:paraId="4FCDA2F1" w14:textId="4BC0DCC4">
            <w:pPr>
              <w:tabs>
                <w:tab w:val="left" w:pos="4536"/>
              </w:tabs>
              <w:spacing w:before="120" w:after="120"/>
              <w:jc w:val="both"/>
              <w:rPr>
                <w:b/>
                <w:bCs/>
              </w:rPr>
            </w:pPr>
            <w:r w:rsidRPr="00023C12">
              <w:rPr>
                <w:b/>
              </w:rPr>
              <w:t>Návrhu rozhodnutí valné hromady o udělení pokynu představenstvu Společnosti týkajícího se obchodního vedení (žádost o pokyn) (Návrh I)</w:t>
            </w:r>
          </w:p>
        </w:tc>
      </w:tr>
      <w:tr w:rsidRPr="0071653E" w:rsidR="0070063D" w:rsidTr="0070063D" w14:paraId="292CB4A7" w14:textId="77777777">
        <w:tc>
          <w:tcPr>
            <w:tcW w:w="3124" w:type="pct"/>
            <w:tcBorders>
              <w:top w:val="single" w:color="auto" w:sz="4" w:space="0"/>
              <w:left w:val="single" w:color="auto" w:sz="4" w:space="0"/>
              <w:bottom w:val="single" w:color="auto" w:sz="4" w:space="0"/>
              <w:right w:val="single" w:color="auto" w:sz="4" w:space="0"/>
            </w:tcBorders>
            <w:shd w:val="clear" w:color="auto" w:fill="auto"/>
          </w:tcPr>
          <w:p w:rsidRPr="0071653E" w:rsidR="00A16FC3" w:rsidP="0071653E" w:rsidRDefault="00A16FC3" w14:paraId="268CE4FA" w14:textId="7B70B31D">
            <w:pPr>
              <w:pStyle w:val="ListParagraph"/>
              <w:spacing w:before="120" w:after="120" w:line="240" w:lineRule="auto"/>
              <w:ind w:left="0"/>
              <w:contextualSpacing w:val="0"/>
              <w:jc w:val="both"/>
              <w:rPr>
                <w:rFonts w:ascii="Times New Roman" w:hAnsi="Times New Roman"/>
                <w:b/>
                <w:bCs/>
                <w:u w:val="single"/>
              </w:rPr>
            </w:pPr>
            <w:r w:rsidRPr="0071653E">
              <w:rPr>
                <w:rFonts w:ascii="Times New Roman" w:hAnsi="Times New Roman"/>
                <w:b/>
                <w:bCs/>
                <w:u w:val="single"/>
              </w:rPr>
              <w:t xml:space="preserve">Návrh </w:t>
            </w:r>
            <w:r w:rsidRPr="0071653E" w:rsidR="005861AD">
              <w:rPr>
                <w:rFonts w:ascii="Times New Roman" w:hAnsi="Times New Roman"/>
                <w:b/>
                <w:bCs/>
                <w:u w:val="single"/>
              </w:rPr>
              <w:t>rozhodnutí:</w:t>
            </w:r>
          </w:p>
          <w:p w:rsidRPr="00FA3C85" w:rsidR="00A16FC3" w:rsidP="00564793" w:rsidRDefault="0009071C" w14:paraId="130C9C3F" w14:textId="7102C027">
            <w:pPr>
              <w:spacing w:before="120" w:after="120"/>
              <w:jc w:val="both"/>
            </w:pPr>
            <w:r w:rsidRPr="00C321EA">
              <w:rPr>
                <w:b/>
                <w:bCs/>
                <w:i/>
              </w:rPr>
              <w:t xml:space="preserve">„Valná hromada Společnosti tímto uděluje v souladu s ustanovením § 51 odst. 2 </w:t>
            </w:r>
            <w:proofErr w:type="spellStart"/>
            <w:r>
              <w:rPr>
                <w:b/>
                <w:bCs/>
                <w:i/>
              </w:rPr>
              <w:t>ZOK</w:t>
            </w:r>
            <w:proofErr w:type="spellEnd"/>
            <w:r>
              <w:rPr>
                <w:b/>
                <w:bCs/>
                <w:i/>
              </w:rPr>
              <w:t xml:space="preserve"> </w:t>
            </w:r>
            <w:r w:rsidRPr="00C321EA">
              <w:rPr>
                <w:b/>
                <w:bCs/>
                <w:i/>
              </w:rPr>
              <w:t xml:space="preserve">představenstvu Společnosti pokyn zajistit provedení veškerých nezbytných kroků </w:t>
            </w:r>
            <w:r w:rsidRPr="00C321EA">
              <w:rPr>
                <w:b/>
                <w:bCs/>
                <w:i/>
                <w:iCs/>
              </w:rPr>
              <w:t xml:space="preserve">ve vztahu k transakci, kterou je akvizice 100% společnosti </w:t>
            </w:r>
            <w:proofErr w:type="spellStart"/>
            <w:r w:rsidRPr="00C321EA">
              <w:rPr>
                <w:b/>
                <w:bCs/>
                <w:i/>
                <w:iCs/>
              </w:rPr>
              <w:t>Colt</w:t>
            </w:r>
            <w:proofErr w:type="spellEnd"/>
            <w:r w:rsidRPr="00C321EA">
              <w:rPr>
                <w:b/>
                <w:bCs/>
                <w:i/>
                <w:iCs/>
              </w:rPr>
              <w:t xml:space="preserve"> Holding</w:t>
            </w:r>
            <w:r>
              <w:rPr>
                <w:b/>
                <w:bCs/>
                <w:i/>
                <w:iCs/>
              </w:rPr>
              <w:t xml:space="preserve"> </w:t>
            </w:r>
            <w:proofErr w:type="spellStart"/>
            <w:r>
              <w:rPr>
                <w:b/>
                <w:bCs/>
                <w:i/>
                <w:iCs/>
              </w:rPr>
              <w:t>Company</w:t>
            </w:r>
            <w:proofErr w:type="spellEnd"/>
            <w:r w:rsidRPr="00C321EA">
              <w:rPr>
                <w:b/>
                <w:bCs/>
                <w:i/>
                <w:iCs/>
              </w:rPr>
              <w:t xml:space="preserve"> </w:t>
            </w:r>
            <w:proofErr w:type="spellStart"/>
            <w:r w:rsidRPr="00C321EA">
              <w:rPr>
                <w:b/>
                <w:bCs/>
                <w:i/>
                <w:iCs/>
              </w:rPr>
              <w:t>LLC</w:t>
            </w:r>
            <w:proofErr w:type="spellEnd"/>
            <w:r w:rsidRPr="00C321EA">
              <w:rPr>
                <w:b/>
                <w:bCs/>
                <w:i/>
                <w:iCs/>
              </w:rPr>
              <w:t xml:space="preserve">, se sídlem 547 New Park Avenue </w:t>
            </w:r>
            <w:proofErr w:type="spellStart"/>
            <w:r w:rsidRPr="00C321EA">
              <w:rPr>
                <w:b/>
                <w:bCs/>
                <w:i/>
                <w:iCs/>
              </w:rPr>
              <w:t>West</w:t>
            </w:r>
            <w:proofErr w:type="spellEnd"/>
            <w:r w:rsidRPr="00C321EA">
              <w:rPr>
                <w:b/>
                <w:bCs/>
                <w:i/>
                <w:iCs/>
              </w:rPr>
              <w:t xml:space="preserve"> Hartford, Connecticut 06110-1336 a jejích dceřiných společností („Transakce“), </w:t>
            </w:r>
            <w:r w:rsidRPr="00C321EA">
              <w:rPr>
                <w:b/>
                <w:bCs/>
                <w:i/>
              </w:rPr>
              <w:t xml:space="preserve">ze strany Společnosti a společnosti CZ-US </w:t>
            </w:r>
            <w:proofErr w:type="spellStart"/>
            <w:r w:rsidRPr="00C321EA">
              <w:rPr>
                <w:b/>
                <w:bCs/>
                <w:i/>
              </w:rPr>
              <w:t>Holdings</w:t>
            </w:r>
            <w:proofErr w:type="spellEnd"/>
            <w:r w:rsidRPr="00C321EA">
              <w:rPr>
                <w:b/>
                <w:bCs/>
                <w:i/>
              </w:rPr>
              <w:t xml:space="preserve"> Inc., jakožto dceřiné společnosti </w:t>
            </w:r>
            <w:proofErr w:type="spellStart"/>
            <w:r w:rsidRPr="00C321EA">
              <w:rPr>
                <w:b/>
                <w:bCs/>
                <w:i/>
              </w:rPr>
              <w:t>Společnosti</w:t>
            </w:r>
            <w:proofErr w:type="spellEnd"/>
            <w:r w:rsidRPr="00C321EA">
              <w:rPr>
                <w:b/>
                <w:bCs/>
                <w:i/>
              </w:rPr>
              <w:t>, kdy Společnost poskytne na tuto Transakci skupinové financování prostřednictvím vlastních zdrojů, prostředků získaných prostřednictvím vydání dluhopisů či jiného externího financování, a také poskytnutím protiplnění prostřednictvím akcií Společnosti, poskytnutých jako částečného protiplnění v rámci vypořádání Transakce. Valná hromada Společnosti uděluje představenstvu Společnosti pokyn v souvislosti s Transakcí zejména k tomu, aby vyjednávalo podmínky nezbytné k realizaci Transakce a k veškerým dalším právním jednáním a jiným faktickým krokům v souvislosti s Transakcí, zejména kroky potřebné k vypořádání transakce (platbě protiplnění za akvizici), včetně kroků směřujících k navýšení základního kapitálu Společnosti za účelem platby protiplnění v rámci Transakce, které má být vypořádáno prostřednictvím akcií Společnosti.“</w:t>
            </w: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71653E" w:rsidR="00A16FC3" w:rsidP="0071653E" w:rsidRDefault="00A16FC3" w14:paraId="0411C295" w14:textId="25D0B634">
            <w:pPr>
              <w:pStyle w:val="ListParagraph"/>
              <w:spacing w:before="120" w:after="120" w:line="240" w:lineRule="auto"/>
              <w:ind w:left="0"/>
              <w:contextualSpacing w:val="0"/>
              <w:jc w:val="center"/>
              <w:rPr>
                <w:rFonts w:ascii="Times New Roman" w:hAnsi="Times New Roman"/>
                <w:b/>
                <w:bCs/>
              </w:rPr>
            </w:pPr>
            <w:r w:rsidRPr="0071653E">
              <w:rPr>
                <w:rFonts w:ascii="Times New Roman" w:hAnsi="Times New Roman"/>
                <w:b/>
                <w:bCs/>
              </w:rPr>
              <w:t>P</w:t>
            </w:r>
            <w:r w:rsidRPr="0071653E" w:rsidR="0073229D">
              <w:rPr>
                <w:rFonts w:ascii="Times New Roman" w:hAnsi="Times New Roman"/>
                <w:b/>
                <w:bCs/>
              </w:rPr>
              <w:t>RO</w:t>
            </w:r>
          </w:p>
          <w:p w:rsidRPr="0071653E" w:rsidR="00A16FC3" w:rsidP="0071653E" w:rsidRDefault="0073229D" w14:paraId="0972C773" w14:textId="52EAAA61">
            <w:pPr>
              <w:pStyle w:val="ListParagraph"/>
              <w:spacing w:before="120" w:after="120" w:line="240" w:lineRule="auto"/>
              <w:ind w:left="0"/>
              <w:contextualSpacing w:val="0"/>
              <w:jc w:val="both"/>
              <w:rPr>
                <w:rFonts w:ascii="Times New Roman" w:hAnsi="Times New Roman"/>
                <w:b/>
                <w:bCs/>
              </w:rPr>
            </w:pPr>
            <w:r w:rsidRPr="0071653E">
              <w:rPr>
                <w:rFonts w:ascii="Times New Roman" w:hAnsi="Times New Roman"/>
                <w:b/>
                <w:bCs/>
                <w:noProof/>
                <w:lang w:eastAsia="cs-CZ"/>
              </w:rPr>
              <mc:AlternateContent>
                <mc:Choice Requires="wps">
                  <w:drawing>
                    <wp:anchor distT="0" distB="0" distL="114300" distR="114300" simplePos="0" relativeHeight="251662336" behindDoc="0" locked="0" layoutInCell="1" allowOverlap="1" wp14:editId="0F35157F" wp14:anchorId="1628EE7E">
                      <wp:simplePos x="0" y="0"/>
                      <wp:positionH relativeFrom="column">
                        <wp:posOffset>232217</wp:posOffset>
                      </wp:positionH>
                      <wp:positionV relativeFrom="paragraph">
                        <wp:posOffset>6653</wp:posOffset>
                      </wp:positionV>
                      <wp:extent cx="424815" cy="414655"/>
                      <wp:effectExtent l="0" t="0" r="13335" b="23495"/>
                      <wp:wrapNone/>
                      <wp:docPr id="9" name="Obdélník 9" descr="" title=""/>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Obdélník 9" style="position:absolute;margin-left:18.3pt;margin-top:.5pt;width:33.45pt;height:3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130C0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sa5eFmUCAAAKBQAADgAAAAAAAAAAAAAAAAAuAgAAZHJzL2Uy&#10;b0RvYy54bWxQSwECLQAUAAYACAAAACEAvYej2NsAAAAHAQAADwAAAAAAAAAAAAAAAAC/BAAAZHJz&#10;L2Rvd25yZXYueG1sUEsFBgAAAAAEAAQA8wAAAMcFAAAAAA==&#10;"/>
                  </w:pict>
                </mc:Fallback>
              </mc:AlternateContent>
            </w:r>
          </w:p>
          <w:p w:rsidRPr="0071653E" w:rsidR="00A16FC3" w:rsidP="0071653E" w:rsidRDefault="00A16FC3" w14:paraId="65D2D887" w14:textId="15AAACC3">
            <w:pPr>
              <w:pStyle w:val="ListParagraph"/>
              <w:spacing w:before="120" w:after="120" w:line="240" w:lineRule="auto"/>
              <w:ind w:left="0"/>
              <w:contextualSpacing w:val="0"/>
              <w:jc w:val="both"/>
              <w:rPr>
                <w:rFonts w:ascii="Times New Roman" w:hAnsi="Times New Roman"/>
              </w:rPr>
            </w:pP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71653E" w:rsidR="00A16FC3" w:rsidP="0071653E" w:rsidRDefault="00A16FC3" w14:paraId="3366C7C3" w14:textId="5DBB0004">
            <w:pPr>
              <w:pStyle w:val="ListParagraph"/>
              <w:spacing w:before="120" w:after="120" w:line="240" w:lineRule="auto"/>
              <w:ind w:left="0"/>
              <w:contextualSpacing w:val="0"/>
              <w:jc w:val="center"/>
              <w:rPr>
                <w:rFonts w:ascii="Times New Roman" w:hAnsi="Times New Roman"/>
                <w:b/>
                <w:bCs/>
              </w:rPr>
            </w:pPr>
            <w:r w:rsidRPr="0071653E">
              <w:rPr>
                <w:rFonts w:ascii="Times New Roman" w:hAnsi="Times New Roman"/>
                <w:b/>
                <w:bCs/>
              </w:rPr>
              <w:t>P</w:t>
            </w:r>
            <w:r w:rsidRPr="0071653E" w:rsidR="0073229D">
              <w:rPr>
                <w:rFonts w:ascii="Times New Roman" w:hAnsi="Times New Roman"/>
                <w:b/>
                <w:bCs/>
              </w:rPr>
              <w:t>ROTI</w:t>
            </w:r>
          </w:p>
          <w:p w:rsidRPr="0071653E" w:rsidR="00A16FC3" w:rsidP="0071653E" w:rsidRDefault="00A16FC3" w14:paraId="15BDB09A" w14:textId="0521360C">
            <w:pPr>
              <w:pStyle w:val="ListParagraph"/>
              <w:spacing w:before="120" w:after="120" w:line="240" w:lineRule="auto"/>
              <w:ind w:left="0"/>
              <w:contextualSpacing w:val="0"/>
              <w:jc w:val="both"/>
              <w:rPr>
                <w:rFonts w:ascii="Times New Roman" w:hAnsi="Times New Roman"/>
                <w:b/>
                <w:bCs/>
              </w:rPr>
            </w:pPr>
            <w:r w:rsidRPr="0071653E">
              <w:rPr>
                <w:rFonts w:ascii="Times New Roman" w:hAnsi="Times New Roman"/>
                <w:b/>
                <w:bCs/>
                <w:noProof/>
                <w:lang w:eastAsia="cs-CZ"/>
              </w:rPr>
              <mc:AlternateContent>
                <mc:Choice Requires="wps">
                  <w:drawing>
                    <wp:anchor distT="0" distB="0" distL="114300" distR="114300" simplePos="0" relativeHeight="251664384" behindDoc="0" locked="0" layoutInCell="1" allowOverlap="1" wp14:editId="1D66C465" wp14:anchorId="66232EEB">
                      <wp:simplePos x="0" y="0"/>
                      <wp:positionH relativeFrom="column">
                        <wp:posOffset>259881</wp:posOffset>
                      </wp:positionH>
                      <wp:positionV relativeFrom="paragraph">
                        <wp:posOffset>3479</wp:posOffset>
                      </wp:positionV>
                      <wp:extent cx="425303" cy="414655"/>
                      <wp:effectExtent l="0" t="0" r="13335" b="23495"/>
                      <wp:wrapNone/>
                      <wp:docPr id="11" name="Obdélník 11" descr="" title=""/>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Obdélník 11" style="position:absolute;margin-left:20.45pt;margin-top:.25pt;width:33.5pt;height:32.6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4D705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"/>
                  </w:pict>
                </mc:Fallback>
              </mc:AlternateContent>
            </w:r>
          </w:p>
        </w:tc>
      </w:tr>
      <w:tr w:rsidRPr="0071653E" w:rsidR="00E87B9D" w:rsidTr="00E87B9D" w14:paraId="518A1194" w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E2D3B8"/>
          </w:tcPr>
          <w:p w:rsidRPr="00E87B9D" w:rsidR="00E87B9D" w:rsidP="00E87B9D" w:rsidRDefault="00E87B9D" w14:paraId="4D5F0686" w14:textId="15CC34FE">
            <w:pPr>
              <w:tabs>
                <w:tab w:val="left" w:pos="4536"/>
              </w:tabs>
              <w:spacing w:before="120" w:after="120"/>
              <w:jc w:val="both"/>
              <w:rPr>
                <w:b/>
              </w:rPr>
            </w:pPr>
            <w:r w:rsidRPr="00023C12">
              <w:rPr>
                <w:b/>
              </w:rPr>
              <w:t>Návrhu rozhodnutí o vyloučení přednostního práva na upisování akcií (Návrh II)</w:t>
            </w:r>
          </w:p>
        </w:tc>
      </w:tr>
      <w:tr w:rsidRPr="0071653E" w:rsidR="00EC6CD2" w:rsidTr="0070063D" w14:paraId="5A95F11F" w14:textId="77777777">
        <w:tc>
          <w:tcPr>
            <w:tcW w:w="3124" w:type="pct"/>
            <w:tcBorders>
              <w:top w:val="single" w:color="auto" w:sz="4" w:space="0"/>
              <w:left w:val="single" w:color="auto" w:sz="4" w:space="0"/>
              <w:bottom w:val="single" w:color="auto" w:sz="4" w:space="0"/>
              <w:right w:val="single" w:color="auto" w:sz="4" w:space="0"/>
            </w:tcBorders>
            <w:shd w:val="clear" w:color="auto" w:fill="auto"/>
          </w:tcPr>
          <w:p w:rsidRPr="00C321EA" w:rsidR="0009071C" w:rsidP="0009071C" w:rsidRDefault="0009071C" w14:paraId="14DC36DF" w14:textId="77777777">
            <w:pPr>
              <w:pStyle w:val="BodyText"/>
              <w:tabs>
                <w:tab w:val="right" w:leader="hyphen" w:pos="9072"/>
              </w:tabs>
              <w:spacing w:before="120" w:after="120"/>
              <w:jc w:val="both"/>
              <w:rPr>
                <w:sz w:val="22"/>
                <w:szCs w:val="22"/>
              </w:rPr>
            </w:pPr>
            <w:r w:rsidRPr="00C321EA">
              <w:rPr>
                <w:b/>
                <w:i/>
                <w:sz w:val="22"/>
                <w:szCs w:val="22"/>
              </w:rPr>
              <w:t xml:space="preserve">„Valná hromada tímto v souladu s § 475 písm. (g) </w:t>
            </w:r>
            <w:proofErr w:type="spellStart"/>
            <w:r>
              <w:rPr>
                <w:b/>
                <w:i/>
                <w:sz w:val="22"/>
                <w:szCs w:val="22"/>
              </w:rPr>
              <w:t>ZOK</w:t>
            </w:r>
            <w:proofErr w:type="spellEnd"/>
            <w:r>
              <w:rPr>
                <w:b/>
                <w:i/>
                <w:sz w:val="22"/>
                <w:szCs w:val="22"/>
              </w:rPr>
              <w:t xml:space="preserve"> </w:t>
            </w:r>
            <w:r w:rsidRPr="00C321EA">
              <w:rPr>
                <w:b/>
                <w:i/>
                <w:sz w:val="22"/>
                <w:szCs w:val="22"/>
              </w:rPr>
              <w:t>vylučuje přednostní právo stávajících akcionářů na upisování až 2</w:t>
            </w:r>
            <w:r>
              <w:rPr>
                <w:b/>
                <w:i/>
                <w:sz w:val="22"/>
                <w:szCs w:val="22"/>
              </w:rPr>
              <w:t>.</w:t>
            </w:r>
            <w:r w:rsidRPr="00C321EA">
              <w:rPr>
                <w:b/>
                <w:i/>
                <w:sz w:val="22"/>
                <w:szCs w:val="22"/>
              </w:rPr>
              <w:t>197</w:t>
            </w:r>
            <w:r>
              <w:rPr>
                <w:b/>
                <w:i/>
                <w:sz w:val="22"/>
                <w:szCs w:val="22"/>
              </w:rPr>
              <w:t>.</w:t>
            </w:r>
            <w:r w:rsidRPr="00C321EA">
              <w:rPr>
                <w:b/>
                <w:i/>
                <w:sz w:val="22"/>
                <w:szCs w:val="22"/>
              </w:rPr>
              <w:t>240 kusů akcií Společnosti. Akcie, k jejichž upisování bylo přednostní právo usnesením valné hromady vyloučeno, mohou být upsány předem určeným zájemcem nebo předem určenými zájemci výhradně v souvislosti s vypořádáním Transakce.“</w:t>
            </w:r>
          </w:p>
          <w:p w:rsidRPr="0071653E" w:rsidR="00EC6CD2" w:rsidP="00E423B1" w:rsidRDefault="00EC6CD2" w14:paraId="5321EABD" w14:textId="6AD8A91A">
            <w:pPr>
              <w:spacing w:before="120" w:after="120"/>
              <w:jc w:val="both"/>
              <w:rPr>
                <w:b/>
                <w:bCs/>
                <w:u w:val="single"/>
              </w:rPr>
            </w:pP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71653E" w:rsidR="00EC6CD2" w:rsidP="00EC6CD2" w:rsidRDefault="00EC6CD2" w14:paraId="7502A9FF" w14:textId="77777777">
            <w:pPr>
              <w:pStyle w:val="ListParagraph"/>
              <w:spacing w:before="120" w:after="120" w:line="240" w:lineRule="auto"/>
              <w:ind w:left="0"/>
              <w:contextualSpacing w:val="0"/>
              <w:jc w:val="center"/>
              <w:rPr>
                <w:rFonts w:ascii="Times New Roman" w:hAnsi="Times New Roman"/>
                <w:b/>
                <w:bCs/>
              </w:rPr>
            </w:pPr>
            <w:r w:rsidRPr="0071653E">
              <w:rPr>
                <w:rFonts w:ascii="Times New Roman" w:hAnsi="Times New Roman"/>
                <w:b/>
                <w:bCs/>
              </w:rPr>
              <w:lastRenderedPageBreak/>
              <w:t>PRO</w:t>
            </w:r>
          </w:p>
          <w:p w:rsidRPr="0071653E" w:rsidR="00EC6CD2" w:rsidP="00EC6CD2" w:rsidRDefault="00EC6CD2" w14:paraId="024080F2" w14:textId="3619BBA9">
            <w:pPr>
              <w:pStyle w:val="ListParagraph"/>
              <w:spacing w:before="120" w:after="120" w:line="240" w:lineRule="auto"/>
              <w:ind w:left="0"/>
              <w:contextualSpacing w:val="0"/>
              <w:jc w:val="both"/>
              <w:rPr>
                <w:rFonts w:ascii="Times New Roman" w:hAnsi="Times New Roman"/>
                <w:b/>
                <w:bCs/>
              </w:rPr>
            </w:pPr>
            <w:r w:rsidRPr="0071653E">
              <w:rPr>
                <w:rFonts w:ascii="Times New Roman" w:hAnsi="Times New Roman"/>
                <w:b/>
                <w:bCs/>
                <w:noProof/>
                <w:lang w:eastAsia="cs-CZ"/>
              </w:rPr>
              <mc:AlternateContent>
                <mc:Choice Requires="wps">
                  <w:drawing>
                    <wp:anchor distT="0" distB="0" distL="114300" distR="114300" simplePos="0" relativeHeight="251666432" behindDoc="0" locked="0" layoutInCell="1" allowOverlap="1" wp14:editId="214724F0" wp14:anchorId="7F9F6734">
                      <wp:simplePos x="0" y="0"/>
                      <wp:positionH relativeFrom="column">
                        <wp:posOffset>232217</wp:posOffset>
                      </wp:positionH>
                      <wp:positionV relativeFrom="paragraph">
                        <wp:posOffset>6653</wp:posOffset>
                      </wp:positionV>
                      <wp:extent cx="424815" cy="414655"/>
                      <wp:effectExtent l="0" t="0" r="13335" b="23495"/>
                      <wp:wrapNone/>
                      <wp:docPr id="1" name="Obdélník 9" descr="" title=""/>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9" style="position:absolute;margin-left:18.3pt;margin-top:.5pt;width:33.45pt;height:32.6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0B868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"/>
                  </w:pict>
                </mc:Fallback>
              </mc:AlternateContent>
            </w:r>
          </w:p>
          <w:p w:rsidRPr="0071653E" w:rsidR="00EC6CD2" w:rsidP="00EC6CD2" w:rsidRDefault="00EC6CD2" w14:paraId="57372D4D" w14:textId="0168C583">
            <w:pPr>
              <w:pStyle w:val="ListParagraph"/>
              <w:spacing w:before="120" w:after="120" w:line="240" w:lineRule="auto"/>
              <w:ind w:left="0"/>
              <w:contextualSpacing w:val="0"/>
              <w:jc w:val="center"/>
              <w:rPr>
                <w:rFonts w:ascii="Times New Roman" w:hAnsi="Times New Roman"/>
                <w:b/>
                <w:bCs/>
              </w:rPr>
            </w:pP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71653E" w:rsidR="00EC6CD2" w:rsidP="00EC6CD2" w:rsidRDefault="00EC6CD2" w14:paraId="4160DD16" w14:textId="77777777">
            <w:pPr>
              <w:pStyle w:val="ListParagraph"/>
              <w:spacing w:before="120" w:after="120" w:line="240" w:lineRule="auto"/>
              <w:ind w:left="0"/>
              <w:contextualSpacing w:val="0"/>
              <w:jc w:val="center"/>
              <w:rPr>
                <w:rFonts w:ascii="Times New Roman" w:hAnsi="Times New Roman"/>
                <w:b/>
                <w:bCs/>
              </w:rPr>
            </w:pPr>
            <w:r w:rsidRPr="0071653E">
              <w:rPr>
                <w:rFonts w:ascii="Times New Roman" w:hAnsi="Times New Roman"/>
                <w:b/>
                <w:bCs/>
              </w:rPr>
              <w:t>PROTI</w:t>
            </w:r>
          </w:p>
          <w:p w:rsidRPr="0071653E" w:rsidR="00EC6CD2" w:rsidP="00EC6CD2" w:rsidRDefault="00E87B9D" w14:paraId="7AD1B83D" w14:textId="3EF06CFB">
            <w:pPr>
              <w:pStyle w:val="ListParagraph"/>
              <w:spacing w:before="120" w:after="120" w:line="240" w:lineRule="auto"/>
              <w:ind w:left="0"/>
              <w:contextualSpacing w:val="0"/>
              <w:jc w:val="center"/>
              <w:rPr>
                <w:rFonts w:ascii="Times New Roman" w:hAnsi="Times New Roman"/>
                <w:b/>
                <w:bCs/>
              </w:rPr>
            </w:pPr>
            <w:r w:rsidRPr="0071653E">
              <w:rPr>
                <w:rFonts w:ascii="Times New Roman" w:hAnsi="Times New Roman"/>
                <w:b/>
                <w:bCs/>
                <w:noProof/>
                <w:lang w:eastAsia="cs-CZ"/>
              </w:rPr>
              <mc:AlternateContent>
                <mc:Choice Requires="wps">
                  <w:drawing>
                    <wp:anchor distT="0" distB="0" distL="114300" distR="114300" simplePos="0" relativeHeight="251667456" behindDoc="0" locked="0" layoutInCell="1" allowOverlap="1" wp14:editId="441AFA33" wp14:anchorId="0E0FB1F7">
                      <wp:simplePos x="0" y="0"/>
                      <wp:positionH relativeFrom="column">
                        <wp:posOffset>259881</wp:posOffset>
                      </wp:positionH>
                      <wp:positionV relativeFrom="paragraph">
                        <wp:posOffset>3479</wp:posOffset>
                      </wp:positionV>
                      <wp:extent cx="425303" cy="414655"/>
                      <wp:effectExtent l="0" t="0" r="13335" b="23495"/>
                      <wp:wrapNone/>
                      <wp:docPr id="2" name="Obdélník 11" descr="" title=""/>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11" style="position:absolute;margin-left:20.45pt;margin-top:.25pt;width:33.5pt;height:32.6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1E74E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"/>
                  </w:pict>
                </mc:Fallback>
              </mc:AlternateContent>
            </w:r>
          </w:p>
        </w:tc>
      </w:tr>
      <w:tr w:rsidRPr="0071653E" w:rsidR="00E87B9D" w:rsidTr="00E87B9D" w14:paraId="497C41A8" w14:textId="77777777">
        <w:tc>
          <w:tcPr>
            <w:tcW w:w="1" w:type="pct"/>
            <w:gridSpan w:val="3"/>
            <w:tcBorders>
              <w:top w:val="single" w:color="auto" w:sz="4" w:space="0"/>
              <w:left w:val="single" w:color="auto" w:sz="4" w:space="0"/>
              <w:bottom w:val="single" w:color="auto" w:sz="4" w:space="0"/>
              <w:right w:val="single" w:color="auto" w:sz="4" w:space="0"/>
            </w:tcBorders>
            <w:shd w:val="clear" w:color="auto" w:fill="E2D3B8"/>
          </w:tcPr>
          <w:p w:rsidRPr="00E87B9D" w:rsidR="00E87B9D" w:rsidP="00E87B9D" w:rsidRDefault="00E87B9D" w14:paraId="6A974D45" w14:textId="4138CB3D">
            <w:pPr>
              <w:tabs>
                <w:tab w:val="left" w:pos="4536"/>
              </w:tabs>
              <w:spacing w:before="120" w:after="120"/>
              <w:jc w:val="both"/>
              <w:rPr>
                <w:b/>
              </w:rPr>
            </w:pPr>
            <w:r w:rsidRPr="00023C12">
              <w:rPr>
                <w:b/>
              </w:rPr>
              <w:t>Návrhu rozhodnutí o zvýšení základního kapitálu Společnosti úpisem akcií (Návrh III)</w:t>
            </w:r>
          </w:p>
        </w:tc>
      </w:tr>
      <w:tr w:rsidRPr="0071653E" w:rsidR="00EC6CD2" w:rsidTr="0070063D" w14:paraId="24840D3A" w14:textId="77777777">
        <w:tc>
          <w:tcPr>
            <w:tcW w:w="3124" w:type="pct"/>
            <w:tcBorders>
              <w:top w:val="single" w:color="auto" w:sz="4" w:space="0"/>
              <w:left w:val="single" w:color="auto" w:sz="4" w:space="0"/>
              <w:bottom w:val="single" w:color="auto" w:sz="4" w:space="0"/>
              <w:right w:val="single" w:color="auto" w:sz="4" w:space="0"/>
            </w:tcBorders>
            <w:shd w:val="clear" w:color="auto" w:fill="auto"/>
          </w:tcPr>
          <w:p w:rsidRPr="00DF7E2E" w:rsidR="0009071C" w:rsidP="0009071C" w:rsidRDefault="0009071C" w14:paraId="1CB129B3" w14:textId="77777777">
            <w:pPr>
              <w:tabs>
                <w:tab w:val="left" w:pos="4536"/>
              </w:tabs>
              <w:spacing w:before="120" w:after="120"/>
              <w:jc w:val="both"/>
              <w:rPr>
                <w:b/>
                <w:bCs/>
                <w:i/>
              </w:rPr>
            </w:pPr>
            <w:proofErr w:type="gramStart"/>
            <w:r>
              <w:rPr>
                <w:b/>
                <w:bCs/>
                <w:i/>
              </w:rPr>
              <w:t>,,</w:t>
            </w:r>
            <w:r w:rsidRPr="00C321EA">
              <w:rPr>
                <w:b/>
                <w:bCs/>
                <w:i/>
              </w:rPr>
              <w:t>Valná</w:t>
            </w:r>
            <w:proofErr w:type="gramEnd"/>
            <w:r w:rsidRPr="00C321EA">
              <w:rPr>
                <w:b/>
                <w:bCs/>
                <w:i/>
              </w:rPr>
              <w:t xml:space="preserve"> hromada </w:t>
            </w:r>
            <w:r>
              <w:rPr>
                <w:b/>
                <w:bCs/>
                <w:i/>
              </w:rPr>
              <w:t>S</w:t>
            </w:r>
            <w:r w:rsidRPr="00C321EA">
              <w:rPr>
                <w:b/>
                <w:bCs/>
                <w:i/>
              </w:rPr>
              <w:t xml:space="preserve">polečnosti rozhoduje o zvýšení základního kapitálu </w:t>
            </w:r>
            <w:r>
              <w:rPr>
                <w:b/>
                <w:bCs/>
                <w:i/>
              </w:rPr>
              <w:t>S</w:t>
            </w:r>
            <w:r w:rsidRPr="00C321EA">
              <w:rPr>
                <w:b/>
                <w:bCs/>
                <w:i/>
              </w:rPr>
              <w:t>pole</w:t>
            </w:r>
            <w:r w:rsidRPr="00C321EA">
              <w:rPr>
                <w:rFonts w:hint="eastAsia"/>
                <w:b/>
                <w:bCs/>
                <w:i/>
              </w:rPr>
              <w:t>č</w:t>
            </w:r>
            <w:r w:rsidRPr="00C321EA">
              <w:rPr>
                <w:b/>
                <w:bCs/>
                <w:i/>
              </w:rPr>
              <w:t>nosti pen</w:t>
            </w:r>
            <w:r w:rsidRPr="00C321EA">
              <w:rPr>
                <w:rFonts w:hint="eastAsia"/>
                <w:b/>
                <w:bCs/>
                <w:i/>
              </w:rPr>
              <w:t>ěž</w:t>
            </w:r>
            <w:r w:rsidRPr="00C321EA">
              <w:rPr>
                <w:b/>
                <w:bCs/>
                <w:i/>
              </w:rPr>
              <w:t>it</w:t>
            </w:r>
            <w:r w:rsidRPr="00C321EA">
              <w:rPr>
                <w:rFonts w:hint="eastAsia"/>
                <w:b/>
                <w:bCs/>
                <w:i/>
              </w:rPr>
              <w:t>ý</w:t>
            </w:r>
            <w:r w:rsidRPr="00C321EA">
              <w:rPr>
                <w:b/>
                <w:bCs/>
                <w:i/>
              </w:rPr>
              <w:t xml:space="preserve">m vkladem o </w:t>
            </w:r>
            <w:r w:rsidRPr="00C321EA">
              <w:rPr>
                <w:rFonts w:hint="eastAsia"/>
                <w:b/>
                <w:bCs/>
                <w:i/>
              </w:rPr>
              <w:t>čá</w:t>
            </w:r>
            <w:r w:rsidRPr="00C321EA">
              <w:rPr>
                <w:b/>
                <w:bCs/>
                <w:i/>
              </w:rPr>
              <w:t>stku 109.862</w:t>
            </w:r>
            <w:r w:rsidRPr="00D108C0">
              <w:rPr>
                <w:b/>
                <w:bCs/>
                <w:i/>
              </w:rPr>
              <w:t>K</w:t>
            </w:r>
            <w:r w:rsidRPr="00D108C0">
              <w:rPr>
                <w:rFonts w:hint="eastAsia"/>
                <w:b/>
                <w:bCs/>
                <w:i/>
              </w:rPr>
              <w:t>č</w:t>
            </w:r>
            <w:r w:rsidRPr="00D108C0">
              <w:rPr>
                <w:b/>
                <w:bCs/>
                <w:i/>
              </w:rPr>
              <w:t xml:space="preserve"> (sto devět tisíc osm set šedesát dva korun </w:t>
            </w:r>
            <w:r w:rsidRPr="00D108C0">
              <w:rPr>
                <w:rFonts w:hint="eastAsia"/>
                <w:b/>
                <w:bCs/>
                <w:i/>
              </w:rPr>
              <w:t>č</w:t>
            </w:r>
            <w:r w:rsidRPr="00D108C0">
              <w:rPr>
                <w:b/>
                <w:bCs/>
                <w:i/>
              </w:rPr>
              <w:t>esk</w:t>
            </w:r>
            <w:r w:rsidRPr="00D108C0">
              <w:rPr>
                <w:rFonts w:hint="eastAsia"/>
                <w:b/>
                <w:bCs/>
                <w:i/>
              </w:rPr>
              <w:t>ý</w:t>
            </w:r>
            <w:r w:rsidRPr="00DF7E2E">
              <w:rPr>
                <w:b/>
                <w:bCs/>
                <w:i/>
              </w:rPr>
              <w:t>ch</w:t>
            </w:r>
            <w:r w:rsidRPr="00D108C0">
              <w:rPr>
                <w:b/>
                <w:bCs/>
                <w:i/>
              </w:rPr>
              <w:t>), ze sou</w:t>
            </w:r>
            <w:r w:rsidRPr="00D108C0">
              <w:rPr>
                <w:rFonts w:hint="eastAsia"/>
                <w:b/>
                <w:bCs/>
                <w:i/>
              </w:rPr>
              <w:t>č</w:t>
            </w:r>
            <w:r w:rsidRPr="00D108C0">
              <w:rPr>
                <w:b/>
                <w:bCs/>
                <w:i/>
              </w:rPr>
              <w:t>asn</w:t>
            </w:r>
            <w:r w:rsidRPr="00DF7E2E">
              <w:rPr>
                <w:rFonts w:hint="eastAsia"/>
                <w:b/>
                <w:bCs/>
                <w:i/>
              </w:rPr>
              <w:t>é</w:t>
            </w:r>
            <w:r w:rsidRPr="00DF7E2E">
              <w:rPr>
                <w:b/>
                <w:bCs/>
                <w:i/>
              </w:rPr>
              <w:t xml:space="preserve"> výše základního </w:t>
            </w:r>
            <w:r w:rsidRPr="00C321EA">
              <w:rPr>
                <w:b/>
                <w:bCs/>
                <w:i/>
              </w:rPr>
              <w:t>kapitálu 3</w:t>
            </w:r>
            <w:r>
              <w:rPr>
                <w:b/>
                <w:bCs/>
                <w:i/>
              </w:rPr>
              <w:t>.</w:t>
            </w:r>
            <w:r w:rsidRPr="00C321EA">
              <w:rPr>
                <w:b/>
                <w:bCs/>
                <w:i/>
              </w:rPr>
              <w:t>263</w:t>
            </w:r>
            <w:r>
              <w:rPr>
                <w:b/>
                <w:bCs/>
                <w:i/>
              </w:rPr>
              <w:t>.</w:t>
            </w:r>
            <w:r w:rsidRPr="00C321EA">
              <w:rPr>
                <w:b/>
                <w:bCs/>
                <w:i/>
              </w:rPr>
              <w:t>800,- Kč (tři miliony dvě stě šedesát t</w:t>
            </w:r>
            <w:r w:rsidRPr="00C321EA">
              <w:rPr>
                <w:rFonts w:hint="eastAsia"/>
                <w:b/>
                <w:bCs/>
                <w:i/>
              </w:rPr>
              <w:t>ř</w:t>
            </w:r>
            <w:r w:rsidRPr="00C321EA">
              <w:rPr>
                <w:b/>
                <w:bCs/>
                <w:i/>
              </w:rPr>
              <w:t xml:space="preserve">i tisíc osm set korun </w:t>
            </w:r>
            <w:r w:rsidRPr="00C321EA">
              <w:rPr>
                <w:rFonts w:hint="eastAsia"/>
                <w:b/>
                <w:bCs/>
                <w:i/>
              </w:rPr>
              <w:t>č</w:t>
            </w:r>
            <w:r w:rsidRPr="00C321EA">
              <w:rPr>
                <w:b/>
                <w:bCs/>
                <w:i/>
              </w:rPr>
              <w:t>esk</w:t>
            </w:r>
            <w:r w:rsidRPr="00C321EA">
              <w:rPr>
                <w:rFonts w:hint="eastAsia"/>
                <w:b/>
                <w:bCs/>
                <w:i/>
              </w:rPr>
              <w:t>ý</w:t>
            </w:r>
            <w:r w:rsidRPr="00C321EA">
              <w:rPr>
                <w:b/>
                <w:bCs/>
                <w:i/>
              </w:rPr>
              <w:t xml:space="preserve">ch) na celkovou </w:t>
            </w:r>
            <w:r w:rsidRPr="00C321EA">
              <w:rPr>
                <w:rFonts w:hint="eastAsia"/>
                <w:b/>
                <w:bCs/>
                <w:i/>
              </w:rPr>
              <w:t>čá</w:t>
            </w:r>
            <w:r w:rsidRPr="00C321EA">
              <w:rPr>
                <w:b/>
                <w:bCs/>
                <w:i/>
              </w:rPr>
              <w:t>stku 3.373.662</w:t>
            </w:r>
            <w:r w:rsidRPr="00D108C0">
              <w:rPr>
                <w:b/>
                <w:bCs/>
                <w:i/>
              </w:rPr>
              <w:t xml:space="preserve"> (tři miliony tři sta sedmdesát tři </w:t>
            </w:r>
            <w:r>
              <w:rPr>
                <w:b/>
                <w:bCs/>
                <w:i/>
              </w:rPr>
              <w:t xml:space="preserve">tisíc </w:t>
            </w:r>
            <w:r w:rsidRPr="00D108C0">
              <w:rPr>
                <w:b/>
                <w:bCs/>
                <w:i/>
              </w:rPr>
              <w:t xml:space="preserve">šest set </w:t>
            </w:r>
            <w:r>
              <w:rPr>
                <w:b/>
                <w:bCs/>
                <w:i/>
              </w:rPr>
              <w:t xml:space="preserve">šedesát </w:t>
            </w:r>
            <w:r w:rsidRPr="00D108C0">
              <w:rPr>
                <w:b/>
                <w:bCs/>
                <w:i/>
              </w:rPr>
              <w:t xml:space="preserve">dva korun </w:t>
            </w:r>
            <w:r w:rsidRPr="00D108C0">
              <w:rPr>
                <w:rFonts w:hint="eastAsia"/>
                <w:b/>
                <w:bCs/>
                <w:i/>
              </w:rPr>
              <w:t>č</w:t>
            </w:r>
            <w:r w:rsidRPr="00D108C0">
              <w:rPr>
                <w:b/>
                <w:bCs/>
                <w:i/>
              </w:rPr>
              <w:t>esk</w:t>
            </w:r>
            <w:r w:rsidRPr="00D108C0">
              <w:rPr>
                <w:rFonts w:hint="eastAsia"/>
                <w:b/>
                <w:bCs/>
                <w:i/>
              </w:rPr>
              <w:t>ý</w:t>
            </w:r>
            <w:r w:rsidRPr="00DF7E2E">
              <w:rPr>
                <w:b/>
                <w:bCs/>
                <w:i/>
              </w:rPr>
              <w:t>ch</w:t>
            </w:r>
            <w:r w:rsidRPr="00D108C0">
              <w:rPr>
                <w:b/>
                <w:bCs/>
                <w:i/>
              </w:rPr>
              <w:t xml:space="preserve">), po zvýšení základního kapitálu </w:t>
            </w:r>
            <w:r>
              <w:rPr>
                <w:b/>
                <w:bCs/>
                <w:i/>
              </w:rPr>
              <w:t>S</w:t>
            </w:r>
            <w:r w:rsidRPr="00D108C0">
              <w:rPr>
                <w:b/>
                <w:bCs/>
                <w:i/>
              </w:rPr>
              <w:t>pole</w:t>
            </w:r>
            <w:r w:rsidRPr="00D108C0">
              <w:rPr>
                <w:rFonts w:hint="eastAsia"/>
                <w:b/>
                <w:bCs/>
                <w:i/>
              </w:rPr>
              <w:t>č</w:t>
            </w:r>
            <w:r w:rsidRPr="00D108C0">
              <w:rPr>
                <w:b/>
                <w:bCs/>
                <w:i/>
              </w:rPr>
              <w:t xml:space="preserve">nosti za následujících </w:t>
            </w:r>
            <w:r w:rsidRPr="00DF7E2E">
              <w:rPr>
                <w:b/>
                <w:bCs/>
                <w:i/>
              </w:rPr>
              <w:t>podmínek:</w:t>
            </w:r>
          </w:p>
          <w:p w:rsidRPr="00C321EA" w:rsidR="0009071C" w:rsidP="0009071C" w:rsidRDefault="0009071C" w14:paraId="539985A7" w14:textId="77777777">
            <w:pPr>
              <w:pStyle w:val="ListParagraph"/>
              <w:numPr>
                <w:ilvl w:val="0"/>
                <w:numId w:val="2"/>
              </w:numPr>
              <w:tabs>
                <w:tab w:val="left" w:pos="4536"/>
              </w:tabs>
              <w:spacing w:before="120" w:after="120"/>
              <w:jc w:val="both"/>
              <w:rPr>
                <w:b/>
                <w:bCs/>
                <w:i/>
              </w:rPr>
            </w:pPr>
            <w:r w:rsidRPr="00C321EA">
              <w:rPr>
                <w:rFonts w:ascii="Times New Roman" w:hAnsi="Times New Roman" w:eastAsia="Times New Roman"/>
                <w:b/>
                <w:bCs/>
                <w:i/>
                <w:lang w:eastAsia="cs-CZ"/>
              </w:rPr>
              <w:t>Zvýšení základního kapitálu bude provedeno upsáním nových kmenových akcií znějících na jméno až do počtu 1.098.620 kusů, o jmenovité hodnotě jedné akcie 0,1 Kč</w:t>
            </w:r>
            <w:r>
              <w:rPr>
                <w:rFonts w:ascii="Times New Roman" w:hAnsi="Times New Roman" w:eastAsia="Times New Roman"/>
                <w:b/>
                <w:bCs/>
                <w:i/>
                <w:lang w:eastAsia="cs-CZ"/>
              </w:rPr>
              <w:t xml:space="preserve"> (deset haléřů)</w:t>
            </w:r>
            <w:r w:rsidRPr="00C321EA">
              <w:rPr>
                <w:rFonts w:ascii="Times New Roman" w:hAnsi="Times New Roman" w:eastAsia="Times New Roman"/>
                <w:b/>
                <w:bCs/>
                <w:i/>
                <w:lang w:eastAsia="cs-CZ"/>
              </w:rPr>
              <w:t>, které budou všechny vydány v zaknihované podobě. Akcie není možné upisovat ve více kolech.  S nově upsanými akciemi nebudou spojena žádná zvláštní práva a budou s nimi spojena stejná práva jako s akciemi již vydanými. Stávající akcie Společnosti, jejich druh, forma, podoba a počet zůstávají nezměněny;</w:t>
            </w:r>
          </w:p>
          <w:p w:rsidRPr="00C321EA" w:rsidR="0009071C" w:rsidP="0009071C" w:rsidRDefault="0009071C" w14:paraId="43A93867" w14:textId="77777777">
            <w:pPr>
              <w:pStyle w:val="ListParagraph"/>
              <w:numPr>
                <w:ilvl w:val="0"/>
                <w:numId w:val="2"/>
              </w:numPr>
              <w:tabs>
                <w:tab w:val="left" w:pos="4536"/>
              </w:tabs>
              <w:spacing w:before="120" w:after="120"/>
              <w:jc w:val="both"/>
              <w:rPr>
                <w:b/>
                <w:bCs/>
                <w:i/>
              </w:rPr>
            </w:pPr>
            <w:r w:rsidRPr="00C321EA">
              <w:rPr>
                <w:rFonts w:ascii="Times New Roman" w:hAnsi="Times New Roman" w:eastAsia="Times New Roman"/>
                <w:b/>
                <w:bCs/>
                <w:i/>
                <w:lang w:eastAsia="cs-CZ"/>
              </w:rPr>
              <w:t>Základní kapitál bude zvýšen upsáním nových akcií, jejichž emisní kurs bude splacen pouze peněžitým vkladem, s nabídkou upisování akcií určenému zájemci; nové akcie ani jejich část nebudou upsány na základě veřejné nabídky;</w:t>
            </w:r>
          </w:p>
          <w:p w:rsidRPr="00C321EA" w:rsidR="0009071C" w:rsidP="0009071C" w:rsidRDefault="0009071C" w14:paraId="4DE58E00" w14:textId="77777777">
            <w:pPr>
              <w:pStyle w:val="ListParagraph"/>
              <w:numPr>
                <w:ilvl w:val="0"/>
                <w:numId w:val="2"/>
              </w:numPr>
              <w:tabs>
                <w:tab w:val="left" w:pos="4536"/>
              </w:tabs>
              <w:spacing w:before="120" w:after="120"/>
              <w:jc w:val="both"/>
              <w:rPr>
                <w:b/>
                <w:bCs/>
                <w:i/>
              </w:rPr>
            </w:pPr>
            <w:r w:rsidRPr="00C321EA">
              <w:rPr>
                <w:rFonts w:ascii="Times New Roman" w:hAnsi="Times New Roman" w:eastAsia="Times New Roman"/>
                <w:b/>
                <w:bCs/>
                <w:i/>
                <w:lang w:eastAsia="cs-CZ"/>
              </w:rPr>
              <w:t>Akcie nebudou upsány s využitím přednostního práva na úpis, jelikož valná hromada Společnosti svým usnesením vyloučila přednostní právo všech stávajících akcionářů Společnosti;</w:t>
            </w:r>
          </w:p>
          <w:p w:rsidRPr="00C321EA" w:rsidR="0009071C" w:rsidP="0009071C" w:rsidRDefault="0009071C" w14:paraId="7A8573E2" w14:textId="77777777">
            <w:pPr>
              <w:pStyle w:val="ListParagraph"/>
              <w:numPr>
                <w:ilvl w:val="0"/>
                <w:numId w:val="2"/>
              </w:numPr>
              <w:tabs>
                <w:tab w:val="left" w:pos="4536"/>
              </w:tabs>
              <w:spacing w:before="120" w:after="120"/>
              <w:jc w:val="both"/>
              <w:rPr>
                <w:b/>
                <w:bCs/>
                <w:i/>
              </w:rPr>
            </w:pPr>
            <w:r w:rsidRPr="00C321EA">
              <w:rPr>
                <w:rFonts w:ascii="Times New Roman" w:hAnsi="Times New Roman" w:eastAsia="Times New Roman"/>
                <w:b/>
                <w:bCs/>
                <w:i/>
                <w:lang w:eastAsia="cs-CZ"/>
              </w:rPr>
              <w:t xml:space="preserve">Všechny akcie budou nabídnuty předem jednomu či více určenému zájemci, a to výhradně akcionářům Skupiny </w:t>
            </w:r>
            <w:proofErr w:type="spellStart"/>
            <w:r w:rsidRPr="00C321EA">
              <w:rPr>
                <w:rFonts w:ascii="Times New Roman" w:hAnsi="Times New Roman" w:eastAsia="Times New Roman"/>
                <w:b/>
                <w:bCs/>
                <w:i/>
                <w:lang w:eastAsia="cs-CZ"/>
              </w:rPr>
              <w:t>Colt</w:t>
            </w:r>
            <w:proofErr w:type="spellEnd"/>
            <w:r w:rsidRPr="00C321EA">
              <w:rPr>
                <w:rFonts w:ascii="Times New Roman" w:hAnsi="Times New Roman" w:eastAsia="Times New Roman"/>
                <w:b/>
                <w:bCs/>
                <w:i/>
                <w:lang w:eastAsia="cs-CZ"/>
              </w:rPr>
              <w:t xml:space="preserve"> („Akcionáři </w:t>
            </w:r>
            <w:proofErr w:type="spellStart"/>
            <w:r w:rsidRPr="00C321EA">
              <w:rPr>
                <w:rFonts w:ascii="Times New Roman" w:hAnsi="Times New Roman" w:eastAsia="Times New Roman"/>
                <w:b/>
                <w:bCs/>
                <w:i/>
                <w:lang w:eastAsia="cs-CZ"/>
              </w:rPr>
              <w:t>Colt</w:t>
            </w:r>
            <w:proofErr w:type="spellEnd"/>
            <w:r w:rsidRPr="00C321EA">
              <w:rPr>
                <w:rFonts w:ascii="Times New Roman" w:hAnsi="Times New Roman" w:eastAsia="Times New Roman"/>
                <w:b/>
                <w:bCs/>
                <w:i/>
                <w:lang w:eastAsia="cs-CZ"/>
              </w:rPr>
              <w:t>“) na základě Akviziční smlouvy, případně jejich zástupci (</w:t>
            </w:r>
            <w:proofErr w:type="spellStart"/>
            <w:r w:rsidRPr="00C321EA">
              <w:rPr>
                <w:rFonts w:ascii="Times New Roman" w:hAnsi="Times New Roman" w:eastAsia="Times New Roman"/>
                <w:b/>
                <w:bCs/>
                <w:i/>
                <w:lang w:eastAsia="cs-CZ"/>
              </w:rPr>
              <w:t>Stockholder</w:t>
            </w:r>
            <w:proofErr w:type="spellEnd"/>
            <w:r w:rsidRPr="00C321EA">
              <w:rPr>
                <w:rFonts w:ascii="Times New Roman" w:hAnsi="Times New Roman" w:eastAsia="Times New Roman"/>
                <w:b/>
                <w:bCs/>
                <w:i/>
                <w:lang w:eastAsia="cs-CZ"/>
              </w:rPr>
              <w:t xml:space="preserve"> </w:t>
            </w:r>
            <w:proofErr w:type="spellStart"/>
            <w:r w:rsidRPr="00C321EA">
              <w:rPr>
                <w:rFonts w:ascii="Times New Roman" w:hAnsi="Times New Roman" w:eastAsia="Times New Roman"/>
                <w:b/>
                <w:bCs/>
                <w:i/>
                <w:lang w:eastAsia="cs-CZ"/>
              </w:rPr>
              <w:t>Representative</w:t>
            </w:r>
            <w:proofErr w:type="spellEnd"/>
            <w:r w:rsidRPr="00C321EA">
              <w:rPr>
                <w:rFonts w:ascii="Times New Roman" w:hAnsi="Times New Roman" w:eastAsia="Times New Roman"/>
                <w:b/>
                <w:bCs/>
                <w:i/>
                <w:lang w:eastAsia="cs-CZ"/>
              </w:rPr>
              <w:t xml:space="preserve">) na základě Akviziční smlouvy, či dceřiné společnosti </w:t>
            </w:r>
            <w:proofErr w:type="spellStart"/>
            <w:r w:rsidRPr="00C321EA">
              <w:rPr>
                <w:rFonts w:ascii="Times New Roman" w:hAnsi="Times New Roman" w:eastAsia="Times New Roman"/>
                <w:b/>
                <w:bCs/>
                <w:i/>
                <w:lang w:eastAsia="cs-CZ"/>
              </w:rPr>
              <w:t>Společnosti</w:t>
            </w:r>
            <w:proofErr w:type="spellEnd"/>
            <w:r w:rsidRPr="00C321EA">
              <w:rPr>
                <w:rFonts w:ascii="Times New Roman" w:hAnsi="Times New Roman" w:eastAsia="Times New Roman"/>
                <w:b/>
                <w:bCs/>
                <w:i/>
                <w:lang w:eastAsia="cs-CZ"/>
              </w:rPr>
              <w:t xml:space="preserve"> jednající na účet Akcionářů </w:t>
            </w:r>
            <w:proofErr w:type="spellStart"/>
            <w:r w:rsidRPr="00C321EA">
              <w:rPr>
                <w:rFonts w:ascii="Times New Roman" w:hAnsi="Times New Roman" w:eastAsia="Times New Roman"/>
                <w:b/>
                <w:bCs/>
                <w:i/>
                <w:lang w:eastAsia="cs-CZ"/>
              </w:rPr>
              <w:t>Colt</w:t>
            </w:r>
            <w:proofErr w:type="spellEnd"/>
            <w:r w:rsidRPr="00C321EA">
              <w:rPr>
                <w:rFonts w:ascii="Times New Roman" w:hAnsi="Times New Roman" w:eastAsia="Times New Roman"/>
                <w:b/>
                <w:bCs/>
                <w:i/>
                <w:lang w:eastAsia="cs-CZ"/>
              </w:rPr>
              <w:t xml:space="preserve"> či jejich zástupce za účelem vypořádání Transakce resp. plnění závazků z Akviziční smlouvy;</w:t>
            </w:r>
          </w:p>
          <w:p w:rsidRPr="00C321EA" w:rsidR="0009071C" w:rsidP="0009071C" w:rsidRDefault="0009071C" w14:paraId="6CBB95CB" w14:textId="77777777">
            <w:pPr>
              <w:pStyle w:val="ListParagraph"/>
              <w:numPr>
                <w:ilvl w:val="0"/>
                <w:numId w:val="2"/>
              </w:numPr>
              <w:tabs>
                <w:tab w:val="left" w:pos="4536"/>
              </w:tabs>
              <w:spacing w:before="120" w:after="120"/>
              <w:jc w:val="both"/>
              <w:rPr>
                <w:rFonts w:ascii="Times New Roman" w:hAnsi="Times New Roman" w:eastAsia="Times New Roman"/>
                <w:b/>
                <w:bCs/>
                <w:i/>
                <w:lang w:eastAsia="cs-CZ"/>
              </w:rPr>
            </w:pPr>
            <w:r w:rsidRPr="00C321EA">
              <w:rPr>
                <w:rFonts w:ascii="Times New Roman" w:hAnsi="Times New Roman" w:eastAsia="Times New Roman"/>
                <w:b/>
                <w:bCs/>
                <w:i/>
                <w:lang w:eastAsia="cs-CZ"/>
              </w:rPr>
              <w:t xml:space="preserve">Určením emisního kurzu nových akcií je pověřeno představenstvo </w:t>
            </w:r>
            <w:r>
              <w:rPr>
                <w:rFonts w:ascii="Times New Roman" w:hAnsi="Times New Roman" w:eastAsia="Times New Roman"/>
                <w:b/>
                <w:bCs/>
                <w:i/>
                <w:lang w:eastAsia="cs-CZ"/>
              </w:rPr>
              <w:t>S</w:t>
            </w:r>
            <w:r w:rsidRPr="00C321EA">
              <w:rPr>
                <w:rFonts w:ascii="Times New Roman" w:hAnsi="Times New Roman" w:eastAsia="Times New Roman"/>
                <w:b/>
                <w:bCs/>
                <w:i/>
                <w:lang w:eastAsia="cs-CZ"/>
              </w:rPr>
              <w:t xml:space="preserve">polečnosti s tím, že nejnižší emisní kurs nebude nižší než částka 290 Kč (slovy: dvě stě devadesát korun českých) za jednu kmenovou akcii znějící na jméno o jmenovité hodnotě 0,10 Kč (deset haléřů) vydanou v zaknihované podobě. Představenstvo Společnosti by mělo při rozhodování o výši emisního kurzu vycházet především z ceny </w:t>
            </w:r>
            <w:r w:rsidRPr="00C321EA">
              <w:rPr>
                <w:rFonts w:ascii="Times New Roman" w:hAnsi="Times New Roman" w:eastAsia="Times New Roman"/>
                <w:b/>
                <w:bCs/>
                <w:i/>
                <w:lang w:eastAsia="cs-CZ"/>
              </w:rPr>
              <w:lastRenderedPageBreak/>
              <w:t>akcií Společnosti v rámci jejich obchodování na trhu Prime Market společnosti Burza cenných papírů Praha, a.s., IČO 47115629, se sídlem v Praze 1, Rybná 14/</w:t>
            </w:r>
            <w:r w:rsidRPr="00001630">
              <w:rPr>
                <w:rFonts w:ascii="Times New Roman" w:hAnsi="Times New Roman" w:eastAsia="Times New Roman"/>
                <w:b/>
                <w:bCs/>
                <w:i/>
                <w:lang w:eastAsia="cs-CZ"/>
              </w:rPr>
              <w:t>682, PSČ</w:t>
            </w:r>
            <w:r w:rsidRPr="00C321EA">
              <w:rPr>
                <w:rFonts w:ascii="Times New Roman" w:hAnsi="Times New Roman" w:eastAsia="Times New Roman"/>
                <w:b/>
                <w:bCs/>
                <w:i/>
                <w:lang w:eastAsia="cs-CZ"/>
              </w:rPr>
              <w:t xml:space="preserve"> 110 0</w:t>
            </w:r>
            <w:r>
              <w:rPr>
                <w:rFonts w:ascii="Times New Roman" w:hAnsi="Times New Roman" w:eastAsia="Times New Roman"/>
                <w:b/>
                <w:bCs/>
                <w:i/>
                <w:lang w:eastAsia="cs-CZ"/>
              </w:rPr>
              <w:t>0</w:t>
            </w:r>
            <w:r w:rsidRPr="00C321EA">
              <w:rPr>
                <w:rFonts w:ascii="Times New Roman" w:hAnsi="Times New Roman" w:eastAsia="Times New Roman"/>
                <w:b/>
                <w:bCs/>
                <w:i/>
                <w:lang w:eastAsia="cs-CZ"/>
              </w:rPr>
              <w:t>;</w:t>
            </w:r>
          </w:p>
          <w:p w:rsidRPr="00C321EA" w:rsidR="0009071C" w:rsidP="0009071C" w:rsidRDefault="0009071C" w14:paraId="736E6DC7" w14:textId="77777777">
            <w:pPr>
              <w:pStyle w:val="ListParagraph"/>
              <w:numPr>
                <w:ilvl w:val="0"/>
                <w:numId w:val="2"/>
              </w:numPr>
              <w:tabs>
                <w:tab w:val="left" w:pos="4536"/>
              </w:tabs>
              <w:spacing w:before="120" w:after="120"/>
              <w:jc w:val="both"/>
              <w:rPr>
                <w:rFonts w:ascii="Times New Roman" w:hAnsi="Times New Roman" w:eastAsia="Times New Roman"/>
                <w:b/>
                <w:bCs/>
                <w:i/>
                <w:lang w:eastAsia="cs-CZ"/>
              </w:rPr>
            </w:pPr>
            <w:r w:rsidRPr="00C321EA">
              <w:rPr>
                <w:rFonts w:ascii="Times New Roman" w:hAnsi="Times New Roman" w:eastAsia="Times New Roman"/>
                <w:b/>
                <w:bCs/>
                <w:i/>
                <w:lang w:eastAsia="cs-CZ"/>
              </w:rPr>
              <w:t>Upisování akcií může začít bezodkladně po přijetí tohoto usnesení (počátek běhu upisovací lhůty);</w:t>
            </w:r>
          </w:p>
          <w:p w:rsidRPr="00C321EA" w:rsidR="0009071C" w:rsidP="0009071C" w:rsidRDefault="0009071C" w14:paraId="6E764DD2" w14:textId="77777777">
            <w:pPr>
              <w:pStyle w:val="ListParagraph"/>
              <w:numPr>
                <w:ilvl w:val="0"/>
                <w:numId w:val="2"/>
              </w:numPr>
              <w:tabs>
                <w:tab w:val="left" w:pos="4536"/>
              </w:tabs>
              <w:spacing w:before="120" w:after="120"/>
              <w:jc w:val="both"/>
              <w:rPr>
                <w:rFonts w:ascii="Times New Roman" w:hAnsi="Times New Roman" w:eastAsia="Times New Roman"/>
                <w:b/>
                <w:bCs/>
                <w:i/>
                <w:lang w:eastAsia="cs-CZ"/>
              </w:rPr>
            </w:pPr>
            <w:r w:rsidRPr="00C321EA">
              <w:rPr>
                <w:rFonts w:ascii="Times New Roman" w:hAnsi="Times New Roman" w:eastAsia="Times New Roman"/>
                <w:b/>
                <w:bCs/>
                <w:i/>
                <w:lang w:eastAsia="cs-CZ"/>
              </w:rPr>
              <w:t>Lhůta pro upisování akcií se stanoví na 1 (jeden) rok. Počátek běhu upisovací lhůty je předem určenému zájemci oznámen představenstvem doručením návrhu smlouvy o úpisu akcií;</w:t>
            </w:r>
          </w:p>
          <w:p w:rsidRPr="00C321EA" w:rsidR="0009071C" w:rsidP="0009071C" w:rsidRDefault="0009071C" w14:paraId="4B946C19" w14:textId="77777777">
            <w:pPr>
              <w:pStyle w:val="ListParagraph"/>
              <w:numPr>
                <w:ilvl w:val="0"/>
                <w:numId w:val="2"/>
              </w:numPr>
              <w:tabs>
                <w:tab w:val="left" w:pos="4536"/>
              </w:tabs>
              <w:spacing w:before="120" w:after="120"/>
              <w:jc w:val="both"/>
              <w:rPr>
                <w:rFonts w:ascii="Times New Roman" w:hAnsi="Times New Roman" w:eastAsia="Times New Roman"/>
                <w:b/>
                <w:bCs/>
                <w:i/>
                <w:lang w:eastAsia="cs-CZ"/>
              </w:rPr>
            </w:pPr>
            <w:r w:rsidRPr="00C321EA">
              <w:rPr>
                <w:rFonts w:ascii="Times New Roman" w:hAnsi="Times New Roman" w:eastAsia="Times New Roman"/>
                <w:b/>
                <w:bCs/>
                <w:i/>
                <w:lang w:eastAsia="cs-CZ"/>
              </w:rPr>
              <w:t>Místem pro upsání akcií je sídlo Společnosti, v budově na adrese Opletalova 1284/37, Nové Město, 110 00 Praha 1, vždy v každý pracovní den lhůty pro upisování akcií od 8:00 hodin do 17:00 hodin, pokud se Společnost a předem určený zájemce nedohodnou jinak;</w:t>
            </w:r>
          </w:p>
          <w:p w:rsidRPr="00C321EA" w:rsidR="0009071C" w:rsidP="0009071C" w:rsidRDefault="0009071C" w14:paraId="1803C9D6" w14:textId="77777777">
            <w:pPr>
              <w:pStyle w:val="ListParagraph"/>
              <w:numPr>
                <w:ilvl w:val="0"/>
                <w:numId w:val="2"/>
              </w:numPr>
              <w:tabs>
                <w:tab w:val="left" w:pos="4536"/>
              </w:tabs>
              <w:spacing w:before="120" w:after="120"/>
              <w:jc w:val="both"/>
              <w:rPr>
                <w:rFonts w:ascii="Times New Roman" w:hAnsi="Times New Roman" w:eastAsia="Times New Roman"/>
                <w:b/>
                <w:bCs/>
                <w:i/>
                <w:lang w:eastAsia="cs-CZ"/>
              </w:rPr>
            </w:pPr>
            <w:r w:rsidRPr="00C321EA">
              <w:rPr>
                <w:rFonts w:ascii="Times New Roman" w:hAnsi="Times New Roman" w:eastAsia="Times New Roman"/>
                <w:b/>
                <w:bCs/>
                <w:i/>
                <w:lang w:eastAsia="cs-CZ"/>
              </w:rPr>
              <w:t>Akcie budou upsány způsobem uvedeným v ustanovení § 479</w:t>
            </w:r>
            <w:r>
              <w:rPr>
                <w:rFonts w:ascii="Times New Roman" w:hAnsi="Times New Roman" w:eastAsia="Times New Roman"/>
                <w:b/>
                <w:bCs/>
                <w:i/>
                <w:lang w:eastAsia="cs-CZ"/>
              </w:rPr>
              <w:t xml:space="preserve"> </w:t>
            </w:r>
            <w:proofErr w:type="spellStart"/>
            <w:r>
              <w:rPr>
                <w:rFonts w:ascii="Times New Roman" w:hAnsi="Times New Roman" w:eastAsia="Times New Roman"/>
                <w:b/>
                <w:bCs/>
                <w:i/>
                <w:lang w:eastAsia="cs-CZ"/>
              </w:rPr>
              <w:t>ZOK</w:t>
            </w:r>
            <w:proofErr w:type="spellEnd"/>
            <w:r w:rsidRPr="00C321EA">
              <w:rPr>
                <w:rFonts w:ascii="Times New Roman" w:hAnsi="Times New Roman" w:eastAsia="Times New Roman"/>
                <w:b/>
                <w:bCs/>
                <w:i/>
                <w:lang w:eastAsia="cs-CZ"/>
              </w:rPr>
              <w:t>, tedy smlouvou o úpisu akcií, která musí mít písemnou formu, podpisy smluvních stran musí být úředně ověřeny a musí obsahovat alespoň náležitosti uvedené v ustanovení § 479</w:t>
            </w:r>
            <w:r>
              <w:rPr>
                <w:rFonts w:ascii="Times New Roman" w:hAnsi="Times New Roman" w:eastAsia="Times New Roman"/>
                <w:b/>
                <w:bCs/>
                <w:i/>
                <w:lang w:eastAsia="cs-CZ"/>
              </w:rPr>
              <w:t xml:space="preserve"> </w:t>
            </w:r>
            <w:proofErr w:type="spellStart"/>
            <w:r>
              <w:rPr>
                <w:rFonts w:ascii="Times New Roman" w:hAnsi="Times New Roman" w:eastAsia="Times New Roman"/>
                <w:b/>
                <w:bCs/>
                <w:i/>
                <w:lang w:eastAsia="cs-CZ"/>
              </w:rPr>
              <w:t>ZOK</w:t>
            </w:r>
            <w:proofErr w:type="spellEnd"/>
            <w:r w:rsidRPr="00C321EA">
              <w:rPr>
                <w:rFonts w:ascii="Times New Roman" w:hAnsi="Times New Roman" w:eastAsia="Times New Roman"/>
                <w:b/>
                <w:bCs/>
                <w:i/>
                <w:lang w:eastAsia="cs-CZ"/>
              </w:rPr>
              <w:t>. K upsání akcií bude poskytnuta lhůta 1 (jednoho) měsíce od doručení návrhu na uzavření smlouvy o úpisu akcií;</w:t>
            </w:r>
          </w:p>
          <w:p w:rsidRPr="0009071C" w:rsidR="00EC6CD2" w:rsidP="00E423B1" w:rsidRDefault="0009071C" w14:paraId="007EE07B" w14:textId="4BBE42F8">
            <w:pPr>
              <w:pStyle w:val="ListParagraph"/>
              <w:numPr>
                <w:ilvl w:val="0"/>
                <w:numId w:val="2"/>
              </w:numPr>
              <w:tabs>
                <w:tab w:val="left" w:pos="4536"/>
              </w:tabs>
              <w:spacing w:before="120" w:after="120"/>
              <w:jc w:val="both"/>
              <w:rPr>
                <w:b/>
              </w:rPr>
            </w:pPr>
            <w:r w:rsidRPr="00C321EA">
              <w:rPr>
                <w:rFonts w:ascii="Times New Roman" w:hAnsi="Times New Roman" w:eastAsia="Times New Roman"/>
                <w:b/>
                <w:bCs/>
                <w:i/>
                <w:lang w:eastAsia="cs-CZ"/>
              </w:rPr>
              <w:t xml:space="preserve">Emisní kurs upsaných akcií musí být splacen nejpozději do 1 (jednoho) roku ode dne upsání </w:t>
            </w:r>
            <w:r w:rsidRPr="00D108C0">
              <w:rPr>
                <w:rFonts w:ascii="Times New Roman" w:hAnsi="Times New Roman" w:eastAsia="Times New Roman"/>
                <w:b/>
                <w:bCs/>
                <w:i/>
                <w:lang w:eastAsia="cs-CZ"/>
              </w:rPr>
              <w:t>akcií, tedy ode dne uzavření smlouvy o úpisu akcií. K okamžiku zápisu změny výše základn</w:t>
            </w:r>
            <w:r>
              <w:rPr>
                <w:rFonts w:ascii="Times New Roman" w:hAnsi="Times New Roman" w:eastAsia="Times New Roman"/>
                <w:b/>
                <w:bCs/>
                <w:i/>
                <w:lang w:eastAsia="cs-CZ"/>
              </w:rPr>
              <w:t xml:space="preserve">ího kapitálu společnosti </w:t>
            </w:r>
            <w:proofErr w:type="spellStart"/>
            <w:r>
              <w:rPr>
                <w:rFonts w:ascii="Times New Roman" w:hAnsi="Times New Roman" w:eastAsia="Times New Roman"/>
                <w:b/>
                <w:bCs/>
                <w:i/>
                <w:lang w:eastAsia="cs-CZ"/>
              </w:rPr>
              <w:t>CZG</w:t>
            </w:r>
            <w:proofErr w:type="spellEnd"/>
            <w:r>
              <w:rPr>
                <w:rFonts w:ascii="Times New Roman" w:hAnsi="Times New Roman" w:eastAsia="Times New Roman"/>
                <w:b/>
                <w:bCs/>
                <w:i/>
                <w:lang w:eastAsia="cs-CZ"/>
              </w:rPr>
              <w:t xml:space="preserve"> - Č</w:t>
            </w:r>
            <w:r w:rsidRPr="00D108C0">
              <w:rPr>
                <w:rFonts w:ascii="Times New Roman" w:hAnsi="Times New Roman" w:eastAsia="Times New Roman"/>
                <w:b/>
                <w:bCs/>
                <w:i/>
                <w:lang w:eastAsia="cs-CZ"/>
              </w:rPr>
              <w:t xml:space="preserve">eská zbrojovka Group SE do obchodního rejstříku </w:t>
            </w:r>
            <w:r w:rsidRPr="00DF7E2E">
              <w:rPr>
                <w:rFonts w:ascii="Times New Roman" w:hAnsi="Times New Roman" w:eastAsia="Times New Roman"/>
                <w:b/>
                <w:bCs/>
                <w:i/>
                <w:lang w:eastAsia="cs-CZ"/>
              </w:rPr>
              <w:t>musí být splacen emisní kurs upsaných akcií v plné výši, a to na účet č.</w:t>
            </w:r>
            <w:r w:rsidRPr="00C321EA">
              <w:rPr>
                <w:rFonts w:ascii="Times New Roman" w:hAnsi="Times New Roman" w:eastAsia="Times New Roman"/>
                <w:b/>
                <w:bCs/>
                <w:i/>
                <w:lang w:eastAsia="cs-CZ"/>
              </w:rPr>
              <w:t xml:space="preserve"> 500087552/0800, IBAN CZ CZ73 0800 0000 0005 0008 7552 vedený u České spořitelny, a.s.;</w:t>
            </w:r>
            <w:r>
              <w:rPr>
                <w:rFonts w:ascii="Times New Roman" w:hAnsi="Times New Roman" w:eastAsia="Times New Roman"/>
                <w:b/>
                <w:bCs/>
                <w:i/>
                <w:lang w:eastAsia="cs-CZ"/>
              </w:rPr>
              <w:t>“</w:t>
            </w: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71653E" w:rsidR="00EC6CD2" w:rsidP="00EC6CD2" w:rsidRDefault="00EC6CD2" w14:paraId="2F308F42" w14:textId="11508293">
            <w:pPr>
              <w:pStyle w:val="ListParagraph"/>
              <w:spacing w:before="120" w:after="120" w:line="240" w:lineRule="auto"/>
              <w:ind w:left="0"/>
              <w:contextualSpacing w:val="0"/>
              <w:jc w:val="center"/>
              <w:rPr>
                <w:rFonts w:ascii="Times New Roman" w:hAnsi="Times New Roman"/>
                <w:b/>
                <w:bCs/>
              </w:rPr>
            </w:pPr>
            <w:r w:rsidRPr="0071653E">
              <w:rPr>
                <w:rFonts w:ascii="Times New Roman" w:hAnsi="Times New Roman"/>
                <w:b/>
                <w:bCs/>
              </w:rPr>
              <w:lastRenderedPageBreak/>
              <w:t>PRO</w:t>
            </w:r>
          </w:p>
          <w:p w:rsidRPr="0071653E" w:rsidR="00EC6CD2" w:rsidP="00EC6CD2" w:rsidRDefault="00EC6CD2" w14:paraId="74F4A6B3" w14:textId="58C274B8">
            <w:pPr>
              <w:pStyle w:val="ListParagraph"/>
              <w:spacing w:before="120" w:after="120" w:line="240" w:lineRule="auto"/>
              <w:ind w:left="0"/>
              <w:contextualSpacing w:val="0"/>
              <w:jc w:val="both"/>
              <w:rPr>
                <w:rFonts w:ascii="Times New Roman" w:hAnsi="Times New Roman"/>
                <w:b/>
                <w:bCs/>
              </w:rPr>
            </w:pPr>
            <w:r w:rsidRPr="0071653E">
              <w:rPr>
                <w:rFonts w:ascii="Times New Roman" w:hAnsi="Times New Roman"/>
                <w:b/>
                <w:bCs/>
                <w:noProof/>
                <w:lang w:eastAsia="cs-CZ"/>
              </w:rPr>
              <mc:AlternateContent>
                <mc:Choice Requires="wps">
                  <w:drawing>
                    <wp:anchor distT="0" distB="0" distL="114300" distR="114300" simplePos="0" relativeHeight="251669504" behindDoc="0" locked="0" layoutInCell="1" allowOverlap="1" wp14:editId="2A4AD6CF" wp14:anchorId="68AC050E">
                      <wp:simplePos x="0" y="0"/>
                      <wp:positionH relativeFrom="column">
                        <wp:posOffset>232217</wp:posOffset>
                      </wp:positionH>
                      <wp:positionV relativeFrom="paragraph">
                        <wp:posOffset>6653</wp:posOffset>
                      </wp:positionV>
                      <wp:extent cx="424815" cy="414655"/>
                      <wp:effectExtent l="0" t="0" r="13335" b="23495"/>
                      <wp:wrapNone/>
                      <wp:docPr id="3" name="Obdélník 9" descr="" title=""/>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9" style="position:absolute;margin-left:18.3pt;margin-top:.5pt;width:33.45pt;height:32.65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78B2B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"/>
                  </w:pict>
                </mc:Fallback>
              </mc:AlternateContent>
            </w:r>
          </w:p>
          <w:p w:rsidRPr="0071653E" w:rsidR="00EC6CD2" w:rsidP="00EC6CD2" w:rsidRDefault="00EC6CD2" w14:paraId="1E768682" w14:textId="77777777">
            <w:pPr>
              <w:pStyle w:val="ListParagraph"/>
              <w:spacing w:before="120" w:after="120" w:line="240" w:lineRule="auto"/>
              <w:ind w:left="0"/>
              <w:contextualSpacing w:val="0"/>
              <w:jc w:val="center"/>
              <w:rPr>
                <w:rFonts w:ascii="Times New Roman" w:hAnsi="Times New Roman"/>
                <w:b/>
                <w:bCs/>
              </w:rPr>
            </w:pP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71653E" w:rsidR="00EC6CD2" w:rsidP="00EC6CD2" w:rsidRDefault="00EC6CD2" w14:paraId="141F8C2F" w14:textId="77777777">
            <w:pPr>
              <w:pStyle w:val="ListParagraph"/>
              <w:spacing w:before="120" w:after="120" w:line="240" w:lineRule="auto"/>
              <w:ind w:left="0"/>
              <w:contextualSpacing w:val="0"/>
              <w:jc w:val="center"/>
              <w:rPr>
                <w:rFonts w:ascii="Times New Roman" w:hAnsi="Times New Roman"/>
                <w:b/>
                <w:bCs/>
              </w:rPr>
            </w:pPr>
            <w:r w:rsidRPr="0071653E">
              <w:rPr>
                <w:rFonts w:ascii="Times New Roman" w:hAnsi="Times New Roman"/>
                <w:b/>
                <w:bCs/>
              </w:rPr>
              <w:t>PROTI</w:t>
            </w:r>
          </w:p>
          <w:p w:rsidRPr="0071653E" w:rsidR="00EC6CD2" w:rsidP="00EC6CD2" w:rsidRDefault="00EC6CD2" w14:paraId="4412E911" w14:textId="54A121A8">
            <w:pPr>
              <w:pStyle w:val="ListParagraph"/>
              <w:spacing w:before="120" w:after="120" w:line="240" w:lineRule="auto"/>
              <w:ind w:left="0"/>
              <w:contextualSpacing w:val="0"/>
              <w:jc w:val="center"/>
              <w:rPr>
                <w:rFonts w:ascii="Times New Roman" w:hAnsi="Times New Roman"/>
                <w:b/>
                <w:bCs/>
              </w:rPr>
            </w:pPr>
            <w:r w:rsidRPr="0071653E">
              <w:rPr>
                <w:rFonts w:ascii="Times New Roman" w:hAnsi="Times New Roman"/>
                <w:b/>
                <w:bCs/>
                <w:noProof/>
                <w:lang w:eastAsia="cs-CZ"/>
              </w:rPr>
              <mc:AlternateContent>
                <mc:Choice Requires="wps">
                  <w:drawing>
                    <wp:anchor distT="0" distB="0" distL="114300" distR="114300" simplePos="0" relativeHeight="251670528" behindDoc="0" locked="0" layoutInCell="1" allowOverlap="1" wp14:editId="6EA69F2C" wp14:anchorId="6A2A2A53">
                      <wp:simplePos x="0" y="0"/>
                      <wp:positionH relativeFrom="column">
                        <wp:posOffset>259881</wp:posOffset>
                      </wp:positionH>
                      <wp:positionV relativeFrom="paragraph">
                        <wp:posOffset>3479</wp:posOffset>
                      </wp:positionV>
                      <wp:extent cx="425303" cy="414655"/>
                      <wp:effectExtent l="0" t="0" r="13335" b="23495"/>
                      <wp:wrapNone/>
                      <wp:docPr id="4" name="Obdélník 11" descr="" title=""/>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11" style="position:absolute;margin-left:20.45pt;margin-top:.25pt;width:33.5pt;height:32.65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11F60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"/>
                  </w:pict>
                </mc:Fallback>
              </mc:AlternateContent>
            </w:r>
          </w:p>
        </w:tc>
      </w:tr>
      <w:tr w:rsidRPr="0071653E" w:rsidR="00E87B9D" w:rsidTr="00E87B9D" w14:paraId="40775610" w14:textId="77777777">
        <w:tc>
          <w:tcPr>
            <w:tcW w:w="5000" w:type="pct"/>
            <w:gridSpan w:val="3"/>
            <w:tcBorders>
              <w:top w:val="single" w:color="auto" w:sz="4" w:space="0"/>
              <w:left w:val="single" w:color="auto" w:sz="4" w:space="0"/>
              <w:bottom w:val="single" w:color="auto" w:sz="4" w:space="0"/>
              <w:right w:val="single" w:color="auto" w:sz="4" w:space="0"/>
            </w:tcBorders>
            <w:shd w:val="clear" w:color="auto" w:fill="E2D3B8"/>
          </w:tcPr>
          <w:p w:rsidRPr="00E87B9D" w:rsidR="00E87B9D" w:rsidP="00E87B9D" w:rsidRDefault="00E87B9D" w14:paraId="493990DD" w14:textId="4E14DC18">
            <w:pPr>
              <w:tabs>
                <w:tab w:val="left" w:pos="4536"/>
              </w:tabs>
              <w:spacing w:before="120" w:after="120"/>
              <w:jc w:val="both"/>
              <w:rPr>
                <w:b/>
              </w:rPr>
            </w:pPr>
            <w:r w:rsidRPr="00023C12">
              <w:rPr>
                <w:b/>
              </w:rPr>
              <w:t>Návrhu na změnu stanov Společnosti (Návrh IV)</w:t>
            </w:r>
          </w:p>
        </w:tc>
      </w:tr>
      <w:tr w:rsidRPr="0071653E" w:rsidR="00EC6CD2" w:rsidTr="0070063D" w14:paraId="5841C265" w14:textId="77777777">
        <w:tc>
          <w:tcPr>
            <w:tcW w:w="3124" w:type="pct"/>
            <w:tcBorders>
              <w:top w:val="single" w:color="auto" w:sz="4" w:space="0"/>
              <w:left w:val="single" w:color="auto" w:sz="4" w:space="0"/>
              <w:bottom w:val="single" w:color="auto" w:sz="4" w:space="0"/>
              <w:right w:val="single" w:color="auto" w:sz="4" w:space="0"/>
            </w:tcBorders>
            <w:shd w:val="clear" w:color="auto" w:fill="auto"/>
          </w:tcPr>
          <w:p w:rsidRPr="00C321EA" w:rsidR="0009071C" w:rsidP="0009071C" w:rsidRDefault="0009071C" w14:paraId="20775B7D" w14:textId="77777777">
            <w:pPr>
              <w:spacing w:before="120" w:after="120"/>
              <w:jc w:val="both"/>
              <w:rPr>
                <w:i/>
              </w:rPr>
            </w:pPr>
            <w:r w:rsidRPr="00C321EA">
              <w:t>„</w:t>
            </w:r>
            <w:r w:rsidRPr="00C321EA">
              <w:rPr>
                <w:b/>
                <w:i/>
              </w:rPr>
              <w:t>Valná hromada Společnosti tímto v souladu s článkem 7.3(a) stanov Společnosti rozhoduje o změně stanov Společnosti následovně:</w:t>
            </w:r>
            <w:r w:rsidRPr="00C321EA">
              <w:rPr>
                <w:i/>
              </w:rPr>
              <w:t xml:space="preserve"> </w:t>
            </w:r>
          </w:p>
          <w:p w:rsidRPr="00C321EA" w:rsidR="0009071C" w:rsidP="0009071C" w:rsidRDefault="0009071C" w14:paraId="1DFD9830" w14:textId="77777777">
            <w:pPr>
              <w:spacing w:before="120" w:after="120"/>
              <w:rPr>
                <w:b/>
                <w:i/>
              </w:rPr>
            </w:pPr>
            <w:r w:rsidRPr="00C321EA">
              <w:rPr>
                <w:b/>
                <w:i/>
              </w:rPr>
              <w:t>Článek 11.1 stanov Společnosti se mění tak, že zní následovně:</w:t>
            </w:r>
          </w:p>
          <w:p w:rsidRPr="00C321EA" w:rsidR="0009071C" w:rsidP="0009071C" w:rsidRDefault="0009071C" w14:paraId="24C431BF" w14:textId="77777777">
            <w:pPr>
              <w:spacing w:before="120" w:after="120"/>
              <w:ind w:left="360"/>
              <w:rPr>
                <w:b/>
                <w:i/>
              </w:rPr>
            </w:pPr>
          </w:p>
          <w:p w:rsidRPr="00C321EA" w:rsidR="0009071C" w:rsidP="0009071C" w:rsidRDefault="0009071C" w14:paraId="15B52ABB" w14:textId="77777777">
            <w:pPr>
              <w:spacing w:line="360" w:lineRule="auto"/>
              <w:ind w:left="360"/>
              <w:jc w:val="both"/>
              <w:rPr>
                <w:i/>
              </w:rPr>
            </w:pPr>
            <w:r w:rsidRPr="00C321EA">
              <w:rPr>
                <w:i/>
              </w:rPr>
              <w:t xml:space="preserve">„Připouští se rozhodování mimo zasedání valné hromady (per </w:t>
            </w:r>
            <w:proofErr w:type="spellStart"/>
            <w:r w:rsidRPr="00C321EA">
              <w:rPr>
                <w:i/>
              </w:rPr>
              <w:t>rollam</w:t>
            </w:r>
            <w:proofErr w:type="spellEnd"/>
            <w:r w:rsidRPr="00C321EA">
              <w:rPr>
                <w:i/>
              </w:rPr>
              <w:t xml:space="preserve">) s tím, že osoba oprávněná ke svolání valné hromady oznámí všem akcionářům návrh rozhodnutí </w:t>
            </w:r>
            <w:r w:rsidRPr="00C321EA">
              <w:rPr>
                <w:i/>
              </w:rPr>
              <w:lastRenderedPageBreak/>
              <w:t>způsobem pro svolání valné hromady dle těchto stanov, který obsahuje:</w:t>
            </w:r>
          </w:p>
          <w:p w:rsidRPr="00C321EA" w:rsidR="0009071C" w:rsidP="0009071C" w:rsidRDefault="0009071C" w14:paraId="62350034" w14:textId="77777777">
            <w:pPr>
              <w:pStyle w:val="ListParagraph"/>
              <w:numPr>
                <w:ilvl w:val="2"/>
                <w:numId w:val="3"/>
              </w:numPr>
              <w:spacing w:after="0" w:line="360" w:lineRule="auto"/>
              <w:ind w:left="1418" w:hanging="681"/>
              <w:contextualSpacing w:val="0"/>
              <w:jc w:val="both"/>
              <w:rPr>
                <w:rFonts w:ascii="Times New Roman" w:hAnsi="Times New Roman"/>
                <w:i/>
              </w:rPr>
            </w:pPr>
            <w:r w:rsidRPr="00C321EA">
              <w:rPr>
                <w:rFonts w:ascii="Times New Roman" w:hAnsi="Times New Roman"/>
                <w:i/>
              </w:rPr>
              <w:t>text navrhovaného rozhodnutí a jeho zdůvodnění;</w:t>
            </w:r>
          </w:p>
          <w:p w:rsidRPr="00C321EA" w:rsidR="0009071C" w:rsidP="0009071C" w:rsidRDefault="0009071C" w14:paraId="2655B48B" w14:textId="77777777">
            <w:pPr>
              <w:pStyle w:val="ListParagraph"/>
              <w:numPr>
                <w:ilvl w:val="2"/>
                <w:numId w:val="3"/>
              </w:numPr>
              <w:spacing w:after="0" w:line="360" w:lineRule="auto"/>
              <w:ind w:left="1418" w:hanging="681"/>
              <w:contextualSpacing w:val="0"/>
              <w:jc w:val="both"/>
              <w:rPr>
                <w:rFonts w:ascii="Times New Roman" w:hAnsi="Times New Roman"/>
                <w:i/>
              </w:rPr>
            </w:pPr>
            <w:r w:rsidRPr="00C321EA">
              <w:rPr>
                <w:rFonts w:ascii="Times New Roman" w:hAnsi="Times New Roman"/>
                <w:i/>
              </w:rPr>
              <w:t>lhůtu pro doručení vyjádření akcionáře v délce nejméně 20 dnů, přičemž pro začátek jejího běhu je rozhodné oznámení návrhu akcionářům;</w:t>
            </w:r>
          </w:p>
          <w:p w:rsidRPr="00C321EA" w:rsidR="0009071C" w:rsidP="0009071C" w:rsidRDefault="0009071C" w14:paraId="40FBF051" w14:textId="77777777">
            <w:pPr>
              <w:pStyle w:val="ListParagraph"/>
              <w:numPr>
                <w:ilvl w:val="2"/>
                <w:numId w:val="3"/>
              </w:numPr>
              <w:spacing w:after="0" w:line="360" w:lineRule="auto"/>
              <w:ind w:left="1418" w:hanging="681"/>
              <w:contextualSpacing w:val="0"/>
              <w:jc w:val="both"/>
              <w:rPr>
                <w:rFonts w:ascii="Times New Roman" w:hAnsi="Times New Roman"/>
                <w:i/>
              </w:rPr>
            </w:pPr>
            <w:r w:rsidRPr="00C321EA">
              <w:rPr>
                <w:rFonts w:ascii="Times New Roman" w:hAnsi="Times New Roman"/>
                <w:i/>
              </w:rPr>
              <w:t>podklady potřebné pro přijetí rozhodnutí;</w:t>
            </w:r>
          </w:p>
          <w:p w:rsidRPr="00C321EA" w:rsidR="0009071C" w:rsidP="0009071C" w:rsidRDefault="0009071C" w14:paraId="1C3F39A1" w14:textId="77777777">
            <w:pPr>
              <w:pStyle w:val="ListParagraph"/>
              <w:numPr>
                <w:ilvl w:val="2"/>
                <w:numId w:val="3"/>
              </w:numPr>
              <w:spacing w:after="0" w:line="360" w:lineRule="auto"/>
              <w:ind w:left="1418" w:hanging="681"/>
              <w:contextualSpacing w:val="0"/>
              <w:jc w:val="both"/>
              <w:rPr>
                <w:i/>
              </w:rPr>
            </w:pPr>
            <w:r w:rsidRPr="00C321EA">
              <w:rPr>
                <w:rFonts w:ascii="Times New Roman" w:hAnsi="Times New Roman"/>
                <w:i/>
              </w:rPr>
              <w:t>rozhodný den.“</w:t>
            </w:r>
          </w:p>
          <w:p w:rsidRPr="00C321EA" w:rsidR="0009071C" w:rsidP="0009071C" w:rsidRDefault="0009071C" w14:paraId="4092A609" w14:textId="77777777">
            <w:pPr>
              <w:spacing w:before="120" w:after="120"/>
              <w:ind w:left="360"/>
              <w:rPr>
                <w:b/>
                <w:i/>
              </w:rPr>
            </w:pPr>
            <w:r w:rsidRPr="00C321EA">
              <w:rPr>
                <w:b/>
                <w:i/>
              </w:rPr>
              <w:t>Článek 11.2 stanov Společnosti se mění tak, že zní následovně:</w:t>
            </w:r>
          </w:p>
          <w:p w:rsidRPr="00C321EA" w:rsidR="0009071C" w:rsidP="0009071C" w:rsidRDefault="0009071C" w14:paraId="54F88B39" w14:textId="77777777">
            <w:pPr>
              <w:spacing w:before="120" w:after="120"/>
              <w:ind w:left="360"/>
            </w:pPr>
          </w:p>
          <w:p w:rsidRPr="00C321EA" w:rsidR="0009071C" w:rsidP="0009071C" w:rsidRDefault="0009071C" w14:paraId="5E01EF62" w14:textId="77777777">
            <w:pPr>
              <w:pStyle w:val="ListParagraph"/>
              <w:spacing w:after="0" w:line="360" w:lineRule="auto"/>
              <w:ind w:left="737"/>
              <w:contextualSpacing w:val="0"/>
              <w:jc w:val="both"/>
              <w:rPr>
                <w:rFonts w:ascii="Times New Roman" w:hAnsi="Times New Roman" w:eastAsia="Times New Roman"/>
                <w:lang w:eastAsia="cs-CZ"/>
              </w:rPr>
            </w:pPr>
            <w:r w:rsidRPr="00C321EA">
              <w:rPr>
                <w:rFonts w:ascii="Times New Roman" w:hAnsi="Times New Roman"/>
                <w:i/>
              </w:rPr>
              <w:t xml:space="preserve">„Rozhodným dnem pro rozhodování valné hromady mimo zasedání (per </w:t>
            </w:r>
            <w:proofErr w:type="spellStart"/>
            <w:r w:rsidRPr="00C321EA">
              <w:rPr>
                <w:rFonts w:ascii="Times New Roman" w:hAnsi="Times New Roman"/>
                <w:i/>
              </w:rPr>
              <w:t>rollam</w:t>
            </w:r>
            <w:proofErr w:type="spellEnd"/>
            <w:r w:rsidRPr="00C321EA">
              <w:rPr>
                <w:rFonts w:ascii="Times New Roman" w:hAnsi="Times New Roman"/>
                <w:i/>
              </w:rPr>
              <w:t>) je sedmý den předcházející dni oznámení návrhu rozhodnutí všem akcionářům způsobem pro svolání valné hromady dle těchto stanov, tj. dni uveřejnění návrhu rozhodnutí na internetových stránkách Společnosti, tj. http://www.czg.cz, a dni zveřejnění v Obchodním věstníku podle toho, který den nastane později. Osoba opr</w:t>
            </w:r>
            <w:r w:rsidRPr="00C321EA">
              <w:rPr>
                <w:rFonts w:hint="eastAsia" w:ascii="Times New Roman" w:hAnsi="Times New Roman"/>
                <w:i/>
              </w:rPr>
              <w:t>á</w:t>
            </w:r>
            <w:r w:rsidRPr="00C321EA">
              <w:rPr>
                <w:rFonts w:ascii="Times New Roman" w:hAnsi="Times New Roman"/>
                <w:i/>
              </w:rPr>
              <w:t>vn</w:t>
            </w:r>
            <w:r w:rsidRPr="00C321EA">
              <w:rPr>
                <w:rFonts w:hint="eastAsia" w:ascii="Times New Roman" w:hAnsi="Times New Roman"/>
                <w:i/>
              </w:rPr>
              <w:t>ě</w:t>
            </w:r>
            <w:r w:rsidRPr="00C321EA">
              <w:rPr>
                <w:rFonts w:ascii="Times New Roman" w:hAnsi="Times New Roman"/>
                <w:i/>
              </w:rPr>
              <w:t>n</w:t>
            </w:r>
            <w:r w:rsidRPr="00C321EA">
              <w:rPr>
                <w:rFonts w:hint="eastAsia" w:ascii="Times New Roman" w:hAnsi="Times New Roman"/>
                <w:i/>
              </w:rPr>
              <w:t>á</w:t>
            </w:r>
            <w:r w:rsidRPr="00C321EA">
              <w:rPr>
                <w:rFonts w:ascii="Times New Roman" w:hAnsi="Times New Roman"/>
                <w:i/>
              </w:rPr>
              <w:t xml:space="preserve"> ke svol</w:t>
            </w:r>
            <w:r w:rsidRPr="00C321EA">
              <w:rPr>
                <w:rFonts w:hint="eastAsia" w:ascii="Times New Roman" w:hAnsi="Times New Roman"/>
                <w:i/>
              </w:rPr>
              <w:t>á</w:t>
            </w:r>
            <w:r w:rsidRPr="00C321EA">
              <w:rPr>
                <w:rFonts w:ascii="Times New Roman" w:hAnsi="Times New Roman"/>
                <w:i/>
              </w:rPr>
              <w:t>n</w:t>
            </w:r>
            <w:r w:rsidRPr="00C321EA">
              <w:rPr>
                <w:rFonts w:hint="eastAsia" w:ascii="Times New Roman" w:hAnsi="Times New Roman"/>
                <w:i/>
              </w:rPr>
              <w:t>í</w:t>
            </w:r>
            <w:r w:rsidRPr="00C321EA">
              <w:rPr>
                <w:rFonts w:ascii="Times New Roman" w:hAnsi="Times New Roman"/>
                <w:i/>
              </w:rPr>
              <w:t xml:space="preserve"> valn</w:t>
            </w:r>
            <w:r w:rsidRPr="00C321EA">
              <w:rPr>
                <w:rFonts w:hint="eastAsia" w:ascii="Times New Roman" w:hAnsi="Times New Roman"/>
                <w:i/>
              </w:rPr>
              <w:t>é</w:t>
            </w:r>
            <w:r w:rsidRPr="00C321EA">
              <w:rPr>
                <w:rFonts w:ascii="Times New Roman" w:hAnsi="Times New Roman"/>
                <w:i/>
              </w:rPr>
              <w:t xml:space="preserve"> hromady zajist</w:t>
            </w:r>
            <w:r w:rsidRPr="00C321EA">
              <w:rPr>
                <w:rFonts w:hint="eastAsia" w:ascii="Times New Roman" w:hAnsi="Times New Roman"/>
                <w:i/>
              </w:rPr>
              <w:t>í</w:t>
            </w:r>
            <w:r w:rsidRPr="00C321EA">
              <w:rPr>
                <w:rFonts w:ascii="Times New Roman" w:hAnsi="Times New Roman"/>
                <w:i/>
              </w:rPr>
              <w:t xml:space="preserve">, </w:t>
            </w:r>
            <w:r w:rsidRPr="00C321EA">
              <w:rPr>
                <w:rFonts w:hint="eastAsia" w:ascii="Times New Roman" w:hAnsi="Times New Roman"/>
                <w:i/>
              </w:rPr>
              <w:t>ž</w:t>
            </w:r>
            <w:r w:rsidRPr="00C321EA">
              <w:rPr>
                <w:rFonts w:ascii="Times New Roman" w:hAnsi="Times New Roman"/>
                <w:i/>
              </w:rPr>
              <w:t>e nejm</w:t>
            </w:r>
            <w:r w:rsidRPr="00C321EA">
              <w:rPr>
                <w:rFonts w:hint="eastAsia" w:ascii="Times New Roman" w:hAnsi="Times New Roman"/>
                <w:i/>
              </w:rPr>
              <w:t>é</w:t>
            </w:r>
            <w:r w:rsidRPr="00C321EA">
              <w:rPr>
                <w:rFonts w:ascii="Times New Roman" w:hAnsi="Times New Roman"/>
                <w:i/>
              </w:rPr>
              <w:t>n</w:t>
            </w:r>
            <w:r w:rsidRPr="00C321EA">
              <w:rPr>
                <w:rFonts w:hint="eastAsia" w:ascii="Times New Roman" w:hAnsi="Times New Roman"/>
                <w:i/>
              </w:rPr>
              <w:t>ě</w:t>
            </w:r>
            <w:r w:rsidRPr="00C321EA">
              <w:rPr>
                <w:rFonts w:ascii="Times New Roman" w:hAnsi="Times New Roman"/>
                <w:i/>
              </w:rPr>
              <w:t xml:space="preserve"> 15 dn</w:t>
            </w:r>
            <w:r w:rsidRPr="00C321EA">
              <w:rPr>
                <w:rFonts w:hint="eastAsia" w:ascii="Times New Roman" w:hAnsi="Times New Roman"/>
                <w:i/>
              </w:rPr>
              <w:t>ů</w:t>
            </w:r>
            <w:r w:rsidRPr="00C321EA">
              <w:rPr>
                <w:rFonts w:ascii="Times New Roman" w:hAnsi="Times New Roman"/>
                <w:i/>
              </w:rPr>
              <w:t xml:space="preserve"> p</w:t>
            </w:r>
            <w:r w:rsidRPr="00C321EA">
              <w:rPr>
                <w:rFonts w:hint="eastAsia" w:ascii="Times New Roman" w:hAnsi="Times New Roman"/>
                <w:i/>
              </w:rPr>
              <w:t>ř</w:t>
            </w:r>
            <w:r w:rsidRPr="00C321EA">
              <w:rPr>
                <w:rFonts w:ascii="Times New Roman" w:hAnsi="Times New Roman"/>
                <w:i/>
              </w:rPr>
              <w:t xml:space="preserve">ede dnem oznámení návrhu rozhodnutí mimo zasedání valné hromady (per </w:t>
            </w:r>
            <w:proofErr w:type="spellStart"/>
            <w:r w:rsidRPr="00C321EA">
              <w:rPr>
                <w:rFonts w:ascii="Times New Roman" w:hAnsi="Times New Roman"/>
                <w:i/>
              </w:rPr>
              <w:t>rollam</w:t>
            </w:r>
            <w:proofErr w:type="spellEnd"/>
            <w:r w:rsidRPr="00C321EA">
              <w:rPr>
                <w:rFonts w:ascii="Times New Roman" w:hAnsi="Times New Roman"/>
                <w:i/>
              </w:rPr>
              <w:t>) bude na internetov</w:t>
            </w:r>
            <w:r w:rsidRPr="00C321EA">
              <w:rPr>
                <w:rFonts w:hint="eastAsia" w:ascii="Times New Roman" w:hAnsi="Times New Roman"/>
                <w:i/>
              </w:rPr>
              <w:t>ý</w:t>
            </w:r>
            <w:r w:rsidRPr="00C321EA">
              <w:rPr>
                <w:rFonts w:ascii="Times New Roman" w:hAnsi="Times New Roman"/>
                <w:i/>
              </w:rPr>
              <w:t>ch str</w:t>
            </w:r>
            <w:r w:rsidRPr="00C321EA">
              <w:rPr>
                <w:rFonts w:hint="eastAsia" w:ascii="Times New Roman" w:hAnsi="Times New Roman"/>
                <w:i/>
              </w:rPr>
              <w:t>á</w:t>
            </w:r>
            <w:r w:rsidRPr="00C321EA">
              <w:rPr>
                <w:rFonts w:ascii="Times New Roman" w:hAnsi="Times New Roman"/>
                <w:i/>
              </w:rPr>
              <w:t>nk</w:t>
            </w:r>
            <w:r w:rsidRPr="00C321EA">
              <w:rPr>
                <w:rFonts w:hint="eastAsia" w:ascii="Times New Roman" w:hAnsi="Times New Roman"/>
                <w:i/>
              </w:rPr>
              <w:t>á</w:t>
            </w:r>
            <w:r w:rsidRPr="00C321EA">
              <w:rPr>
                <w:rFonts w:ascii="Times New Roman" w:hAnsi="Times New Roman"/>
                <w:i/>
              </w:rPr>
              <w:t xml:space="preserve">ch </w:t>
            </w:r>
            <w:r>
              <w:rPr>
                <w:rFonts w:ascii="Times New Roman" w:hAnsi="Times New Roman"/>
                <w:i/>
              </w:rPr>
              <w:t>S</w:t>
            </w:r>
            <w:r w:rsidRPr="00C321EA">
              <w:rPr>
                <w:rFonts w:ascii="Times New Roman" w:hAnsi="Times New Roman"/>
                <w:i/>
              </w:rPr>
              <w:t>pole</w:t>
            </w:r>
            <w:r w:rsidRPr="00C321EA">
              <w:rPr>
                <w:rFonts w:hint="eastAsia" w:ascii="Times New Roman" w:hAnsi="Times New Roman"/>
                <w:i/>
              </w:rPr>
              <w:t>č</w:t>
            </w:r>
            <w:r w:rsidRPr="00C321EA">
              <w:rPr>
                <w:rFonts w:ascii="Times New Roman" w:hAnsi="Times New Roman"/>
                <w:i/>
              </w:rPr>
              <w:t>nosti uve</w:t>
            </w:r>
            <w:r w:rsidRPr="00C321EA">
              <w:rPr>
                <w:rFonts w:hint="eastAsia" w:ascii="Times New Roman" w:hAnsi="Times New Roman"/>
                <w:i/>
              </w:rPr>
              <w:t>ř</w:t>
            </w:r>
            <w:r w:rsidRPr="00C321EA">
              <w:rPr>
                <w:rFonts w:ascii="Times New Roman" w:hAnsi="Times New Roman"/>
                <w:i/>
              </w:rPr>
              <w:t>ejn</w:t>
            </w:r>
            <w:r w:rsidRPr="00C321EA">
              <w:rPr>
                <w:rFonts w:hint="eastAsia" w:ascii="Times New Roman" w:hAnsi="Times New Roman"/>
                <w:i/>
              </w:rPr>
              <w:t>ě</w:t>
            </w:r>
            <w:r w:rsidRPr="00C321EA">
              <w:rPr>
                <w:rFonts w:ascii="Times New Roman" w:hAnsi="Times New Roman"/>
                <w:i/>
              </w:rPr>
              <w:t>no ozn</w:t>
            </w:r>
            <w:r w:rsidRPr="00C321EA">
              <w:rPr>
                <w:rFonts w:hint="eastAsia" w:ascii="Times New Roman" w:hAnsi="Times New Roman"/>
                <w:i/>
              </w:rPr>
              <w:t>á</w:t>
            </w:r>
            <w:r w:rsidRPr="00C321EA">
              <w:rPr>
                <w:rFonts w:ascii="Times New Roman" w:hAnsi="Times New Roman"/>
                <w:i/>
              </w:rPr>
              <w:t>men</w:t>
            </w:r>
            <w:r w:rsidRPr="00C321EA">
              <w:rPr>
                <w:rFonts w:hint="eastAsia" w:ascii="Times New Roman" w:hAnsi="Times New Roman"/>
                <w:i/>
              </w:rPr>
              <w:t>í</w:t>
            </w:r>
            <w:r w:rsidRPr="00C321EA">
              <w:rPr>
                <w:rFonts w:ascii="Times New Roman" w:hAnsi="Times New Roman"/>
                <w:i/>
              </w:rPr>
              <w:t xml:space="preserve"> o z</w:t>
            </w:r>
            <w:r w:rsidRPr="00C321EA">
              <w:rPr>
                <w:rFonts w:hint="eastAsia" w:ascii="Times New Roman" w:hAnsi="Times New Roman"/>
                <w:i/>
              </w:rPr>
              <w:t>á</w:t>
            </w:r>
            <w:r w:rsidRPr="00C321EA">
              <w:rPr>
                <w:rFonts w:ascii="Times New Roman" w:hAnsi="Times New Roman"/>
                <w:i/>
              </w:rPr>
              <w:t>m</w:t>
            </w:r>
            <w:r w:rsidRPr="00C321EA">
              <w:rPr>
                <w:rFonts w:hint="eastAsia" w:ascii="Times New Roman" w:hAnsi="Times New Roman"/>
                <w:i/>
              </w:rPr>
              <w:t>ě</w:t>
            </w:r>
            <w:r w:rsidRPr="00C321EA">
              <w:rPr>
                <w:rFonts w:ascii="Times New Roman" w:hAnsi="Times New Roman"/>
                <w:i/>
              </w:rPr>
              <w:t xml:space="preserve">ru rozhodovat mimo zasedání valné hromady (per </w:t>
            </w:r>
            <w:proofErr w:type="spellStart"/>
            <w:r w:rsidRPr="00C321EA">
              <w:rPr>
                <w:rFonts w:ascii="Times New Roman" w:hAnsi="Times New Roman"/>
                <w:i/>
              </w:rPr>
              <w:t>rollam</w:t>
            </w:r>
            <w:proofErr w:type="spellEnd"/>
            <w:r w:rsidRPr="00C321EA">
              <w:rPr>
                <w:rFonts w:ascii="Times New Roman" w:hAnsi="Times New Roman"/>
                <w:i/>
              </w:rPr>
              <w:t>), ve kter</w:t>
            </w:r>
            <w:r w:rsidRPr="00C321EA">
              <w:rPr>
                <w:rFonts w:hint="eastAsia" w:ascii="Times New Roman" w:hAnsi="Times New Roman"/>
                <w:i/>
              </w:rPr>
              <w:t>é</w:t>
            </w:r>
            <w:r w:rsidRPr="00C321EA">
              <w:rPr>
                <w:rFonts w:ascii="Times New Roman" w:hAnsi="Times New Roman"/>
                <w:i/>
              </w:rPr>
              <w:t>m uvede zejm</w:t>
            </w:r>
            <w:r w:rsidRPr="00C321EA">
              <w:rPr>
                <w:rFonts w:hint="eastAsia" w:ascii="Times New Roman" w:hAnsi="Times New Roman"/>
                <w:i/>
              </w:rPr>
              <w:t>é</w:t>
            </w:r>
            <w:r w:rsidRPr="00C321EA">
              <w:rPr>
                <w:rFonts w:ascii="Times New Roman" w:hAnsi="Times New Roman"/>
                <w:i/>
              </w:rPr>
              <w:t>na informace o zp</w:t>
            </w:r>
            <w:r w:rsidRPr="00C321EA">
              <w:rPr>
                <w:rFonts w:hint="eastAsia" w:ascii="Times New Roman" w:hAnsi="Times New Roman"/>
                <w:i/>
              </w:rPr>
              <w:t>ů</w:t>
            </w:r>
            <w:r w:rsidRPr="00C321EA">
              <w:rPr>
                <w:rFonts w:ascii="Times New Roman" w:hAnsi="Times New Roman"/>
                <w:i/>
              </w:rPr>
              <w:t>sobu, jak se akcion</w:t>
            </w:r>
            <w:r w:rsidRPr="00C321EA">
              <w:rPr>
                <w:rFonts w:hint="eastAsia" w:ascii="Times New Roman" w:hAnsi="Times New Roman"/>
                <w:i/>
              </w:rPr>
              <w:t>ář</w:t>
            </w:r>
            <w:r w:rsidRPr="00C321EA">
              <w:rPr>
                <w:rFonts w:ascii="Times New Roman" w:hAnsi="Times New Roman"/>
                <w:i/>
              </w:rPr>
              <w:t>i mohou sezn</w:t>
            </w:r>
            <w:r w:rsidRPr="00C321EA">
              <w:rPr>
                <w:rFonts w:hint="eastAsia" w:ascii="Times New Roman" w:hAnsi="Times New Roman"/>
                <w:i/>
              </w:rPr>
              <w:t>á</w:t>
            </w:r>
            <w:r w:rsidRPr="00C321EA">
              <w:rPr>
                <w:rFonts w:ascii="Times New Roman" w:hAnsi="Times New Roman"/>
                <w:i/>
              </w:rPr>
              <w:t>mit s n</w:t>
            </w:r>
            <w:r w:rsidRPr="00C321EA">
              <w:rPr>
                <w:rFonts w:hint="eastAsia" w:ascii="Times New Roman" w:hAnsi="Times New Roman"/>
                <w:i/>
              </w:rPr>
              <w:t>á</w:t>
            </w:r>
            <w:r w:rsidRPr="00C321EA">
              <w:rPr>
                <w:rFonts w:ascii="Times New Roman" w:hAnsi="Times New Roman"/>
                <w:i/>
              </w:rPr>
              <w:t>vrhy rozhodnut</w:t>
            </w:r>
            <w:r w:rsidRPr="00C321EA">
              <w:rPr>
                <w:rFonts w:hint="eastAsia" w:ascii="Times New Roman" w:hAnsi="Times New Roman"/>
                <w:i/>
              </w:rPr>
              <w:t>í</w:t>
            </w:r>
            <w:r w:rsidRPr="00C321EA">
              <w:rPr>
                <w:rFonts w:ascii="Times New Roman" w:hAnsi="Times New Roman"/>
                <w:i/>
              </w:rPr>
              <w:t xml:space="preserve"> a s p</w:t>
            </w:r>
            <w:r w:rsidRPr="00C321EA">
              <w:rPr>
                <w:rFonts w:hint="eastAsia" w:ascii="Times New Roman" w:hAnsi="Times New Roman"/>
                <w:i/>
              </w:rPr>
              <w:t>ří</w:t>
            </w:r>
            <w:r w:rsidRPr="00C321EA">
              <w:rPr>
                <w:rFonts w:ascii="Times New Roman" w:hAnsi="Times New Roman"/>
                <w:i/>
              </w:rPr>
              <w:t>slu</w:t>
            </w:r>
            <w:r w:rsidRPr="00C321EA">
              <w:rPr>
                <w:rFonts w:hint="eastAsia" w:ascii="Times New Roman" w:hAnsi="Times New Roman"/>
                <w:i/>
              </w:rPr>
              <w:t>š</w:t>
            </w:r>
            <w:r w:rsidRPr="00C321EA">
              <w:rPr>
                <w:rFonts w:ascii="Times New Roman" w:hAnsi="Times New Roman"/>
                <w:i/>
              </w:rPr>
              <w:t>n</w:t>
            </w:r>
            <w:r w:rsidRPr="00C321EA">
              <w:rPr>
                <w:rFonts w:hint="eastAsia" w:ascii="Times New Roman" w:hAnsi="Times New Roman"/>
                <w:i/>
              </w:rPr>
              <w:t>ý</w:t>
            </w:r>
            <w:r w:rsidRPr="00C321EA">
              <w:rPr>
                <w:rFonts w:ascii="Times New Roman" w:hAnsi="Times New Roman"/>
                <w:i/>
              </w:rPr>
              <w:t>mi podklady k t</w:t>
            </w:r>
            <w:r w:rsidRPr="00C321EA">
              <w:rPr>
                <w:rFonts w:hint="eastAsia" w:ascii="Times New Roman" w:hAnsi="Times New Roman"/>
                <w:i/>
              </w:rPr>
              <w:t>ě</w:t>
            </w:r>
            <w:r w:rsidRPr="00C321EA">
              <w:rPr>
                <w:rFonts w:ascii="Times New Roman" w:hAnsi="Times New Roman"/>
                <w:i/>
              </w:rPr>
              <w:t>mto n</w:t>
            </w:r>
            <w:r w:rsidRPr="00C321EA">
              <w:rPr>
                <w:rFonts w:hint="eastAsia" w:ascii="Times New Roman" w:hAnsi="Times New Roman"/>
                <w:i/>
              </w:rPr>
              <w:t>á</w:t>
            </w:r>
            <w:r w:rsidRPr="00C321EA">
              <w:rPr>
                <w:rFonts w:ascii="Times New Roman" w:hAnsi="Times New Roman"/>
                <w:i/>
              </w:rPr>
              <w:t>vrh</w:t>
            </w:r>
            <w:r w:rsidRPr="00C321EA">
              <w:rPr>
                <w:rFonts w:hint="eastAsia" w:ascii="Times New Roman" w:hAnsi="Times New Roman"/>
                <w:i/>
              </w:rPr>
              <w:t>ů</w:t>
            </w:r>
            <w:r w:rsidRPr="00C321EA">
              <w:rPr>
                <w:rFonts w:ascii="Times New Roman" w:hAnsi="Times New Roman"/>
                <w:i/>
              </w:rPr>
              <w:t>m a pravidly pro rozhodování.“</w:t>
            </w:r>
          </w:p>
          <w:p w:rsidRPr="00C321EA" w:rsidR="0009071C" w:rsidP="0009071C" w:rsidRDefault="0009071C" w14:paraId="0B496F1A" w14:textId="77777777">
            <w:pPr>
              <w:spacing w:before="120" w:after="120"/>
              <w:ind w:left="360"/>
              <w:rPr>
                <w:b/>
                <w:i/>
              </w:rPr>
            </w:pPr>
            <w:r w:rsidRPr="00C321EA">
              <w:rPr>
                <w:b/>
                <w:i/>
              </w:rPr>
              <w:t>Článek 11.3 stanov Společnosti se mění tak, že zní následovně:</w:t>
            </w:r>
          </w:p>
          <w:p w:rsidRPr="00C321EA" w:rsidR="0009071C" w:rsidP="0009071C" w:rsidRDefault="0009071C" w14:paraId="1B37EC86" w14:textId="77777777">
            <w:pPr>
              <w:spacing w:before="120" w:after="120"/>
              <w:ind w:left="360"/>
              <w:rPr>
                <w:b/>
                <w:i/>
              </w:rPr>
            </w:pPr>
          </w:p>
          <w:p w:rsidRPr="00C321EA" w:rsidR="0009071C" w:rsidP="0009071C" w:rsidRDefault="0009071C" w14:paraId="4B798D5F" w14:textId="77777777">
            <w:pPr>
              <w:pStyle w:val="ListParagraph"/>
              <w:spacing w:after="0" w:line="360" w:lineRule="auto"/>
              <w:ind w:left="737"/>
              <w:contextualSpacing w:val="0"/>
              <w:jc w:val="both"/>
              <w:rPr>
                <w:rFonts w:ascii="Times New Roman" w:hAnsi="Times New Roman"/>
              </w:rPr>
            </w:pPr>
            <w:proofErr w:type="gramStart"/>
            <w:r w:rsidRPr="00C321EA">
              <w:rPr>
                <w:rFonts w:ascii="Times New Roman" w:hAnsi="Times New Roman"/>
                <w:i/>
              </w:rPr>
              <w:t>,,Akcionář</w:t>
            </w:r>
            <w:proofErr w:type="gramEnd"/>
            <w:r w:rsidRPr="00C321EA">
              <w:rPr>
                <w:rFonts w:ascii="Times New Roman" w:hAnsi="Times New Roman"/>
                <w:i/>
              </w:rPr>
              <w:t xml:space="preserve"> Společnosti se může k navrhovanému rozhodnutí vyjádřit ve stanovené lhůtě od oznámení </w:t>
            </w:r>
            <w:r w:rsidRPr="00C321EA">
              <w:rPr>
                <w:rFonts w:ascii="Times New Roman" w:hAnsi="Times New Roman"/>
                <w:i/>
              </w:rPr>
              <w:lastRenderedPageBreak/>
              <w:t>návrhu rozhodnutí tomuto akcionáři, a to písemnou formou s úředně ověřeným podpisem akcionáře. Pokud akcionář nedoručí ve stanovené lhůtě souhlas s návrhem usnesení v originále, platí, že s návrhem nesouhlasí.“</w:t>
            </w:r>
          </w:p>
          <w:p w:rsidRPr="00C321EA" w:rsidR="0009071C" w:rsidP="0009071C" w:rsidRDefault="0009071C" w14:paraId="1131544D" w14:textId="77777777">
            <w:pPr>
              <w:spacing w:before="120" w:after="120"/>
              <w:ind w:left="360"/>
              <w:rPr>
                <w:b/>
                <w:i/>
              </w:rPr>
            </w:pPr>
            <w:r w:rsidRPr="00C321EA">
              <w:rPr>
                <w:b/>
                <w:i/>
              </w:rPr>
              <w:t>Článek 16.3 stanov Společnosti se mění tak, že zní následovně:</w:t>
            </w:r>
          </w:p>
          <w:p w:rsidRPr="00C321EA" w:rsidR="0009071C" w:rsidP="0009071C" w:rsidRDefault="0009071C" w14:paraId="2C7BB8D5" w14:textId="77777777">
            <w:pPr>
              <w:spacing w:before="120" w:after="120"/>
              <w:ind w:left="360"/>
              <w:rPr>
                <w:b/>
                <w:i/>
              </w:rPr>
            </w:pPr>
          </w:p>
          <w:p w:rsidRPr="00C321EA" w:rsidR="0009071C" w:rsidP="0009071C" w:rsidRDefault="0009071C" w14:paraId="216E9953" w14:textId="77777777">
            <w:pPr>
              <w:pStyle w:val="ListParagraph"/>
              <w:spacing w:after="0" w:line="360" w:lineRule="auto"/>
              <w:ind w:left="737"/>
              <w:contextualSpacing w:val="0"/>
              <w:jc w:val="both"/>
            </w:pPr>
            <w:r w:rsidRPr="00C321EA">
              <w:rPr>
                <w:rFonts w:ascii="Times New Roman" w:hAnsi="Times New Roman"/>
                <w:i/>
              </w:rPr>
              <w:t>„O jednáních představenstva a přijatých usneseních se vyhotovuje zápis, který se čísluje dohodnutým způsobem, a podepisuje jej předsedající a zapisovatel s tím, že v případě účasti předsedajícího nebo zapisovatele na zasedání představenstva pomocí technických prostředků, nemusí být zápis podepsán předsedajícím a zapisovatelem na jedné listině. Zápis ze zasedání představenstva musí obsahovat den zasedání, pořadové číslo zápisu, jména zúčastněných členů představenstva, případně dozorčí rady, přesný obsah přijatých usnesení a výsledky hlasování podle jmen. P</w:t>
            </w:r>
            <w:r w:rsidRPr="00C321EA">
              <w:rPr>
                <w:rFonts w:hint="eastAsia" w:ascii="Times New Roman" w:hAnsi="Times New Roman"/>
                <w:i/>
              </w:rPr>
              <w:t>ří</w:t>
            </w:r>
            <w:r w:rsidRPr="00C321EA">
              <w:rPr>
                <w:rFonts w:ascii="Times New Roman" w:hAnsi="Times New Roman"/>
                <w:i/>
              </w:rPr>
              <w:t>lohou z</w:t>
            </w:r>
            <w:r w:rsidRPr="00C321EA">
              <w:rPr>
                <w:rFonts w:hint="eastAsia" w:ascii="Times New Roman" w:hAnsi="Times New Roman"/>
                <w:i/>
              </w:rPr>
              <w:t>á</w:t>
            </w:r>
            <w:r w:rsidRPr="00C321EA">
              <w:rPr>
                <w:rFonts w:ascii="Times New Roman" w:hAnsi="Times New Roman"/>
                <w:i/>
              </w:rPr>
              <w:t>pisu je seznam p</w:t>
            </w:r>
            <w:r w:rsidRPr="00C321EA">
              <w:rPr>
                <w:rFonts w:hint="eastAsia" w:ascii="Times New Roman" w:hAnsi="Times New Roman"/>
                <w:i/>
              </w:rPr>
              <w:t>ří</w:t>
            </w:r>
            <w:r w:rsidRPr="00C321EA">
              <w:rPr>
                <w:rFonts w:ascii="Times New Roman" w:hAnsi="Times New Roman"/>
                <w:i/>
              </w:rPr>
              <w:t>tomn</w:t>
            </w:r>
            <w:r w:rsidRPr="00C321EA">
              <w:rPr>
                <w:rFonts w:hint="eastAsia" w:ascii="Times New Roman" w:hAnsi="Times New Roman"/>
                <w:i/>
              </w:rPr>
              <w:t>ý</w:t>
            </w:r>
            <w:r w:rsidRPr="00C321EA">
              <w:rPr>
                <w:rFonts w:ascii="Times New Roman" w:hAnsi="Times New Roman"/>
                <w:i/>
              </w:rPr>
              <w:t>ch s tím, že v případě účasti člena představenstva nebo člena dozorčí rady na zasedání představenstva pomocí technických prostředků, nemusí být seznam přítomných podepsán všemi přítomnými členy představenstva nebo členy dozorčí rady na jedné listině. Zápis se ve stejnopise vždy doručuje všem členům představenstva a všem členům dozorčí rady. Další podrobnosti týkající se zasedání představenstva budou stanoveny v jednacím řádu.“</w:t>
            </w:r>
          </w:p>
          <w:p w:rsidRPr="00C321EA" w:rsidR="0009071C" w:rsidP="0009071C" w:rsidRDefault="0009071C" w14:paraId="2AFCC5BE" w14:textId="77777777">
            <w:pPr>
              <w:spacing w:before="120" w:after="120"/>
              <w:ind w:left="360"/>
              <w:rPr>
                <w:b/>
                <w:i/>
              </w:rPr>
            </w:pPr>
            <w:r w:rsidRPr="00C321EA">
              <w:rPr>
                <w:b/>
                <w:i/>
              </w:rPr>
              <w:t>Článek 22.3 stanov Společnosti se mění tak, že zní následovně:</w:t>
            </w:r>
          </w:p>
          <w:p w:rsidRPr="00C321EA" w:rsidR="0009071C" w:rsidP="0009071C" w:rsidRDefault="0009071C" w14:paraId="3E3AD387" w14:textId="77777777">
            <w:pPr>
              <w:spacing w:before="120" w:after="120"/>
              <w:ind w:left="360"/>
              <w:rPr>
                <w:rFonts w:ascii="Arial" w:hAnsi="Arial" w:cs="Arial"/>
              </w:rPr>
            </w:pPr>
          </w:p>
          <w:p w:rsidRPr="0009071C" w:rsidR="00EC6CD2" w:rsidP="0009071C" w:rsidRDefault="0009071C" w14:paraId="78FC3658" w14:textId="6C6A7B99">
            <w:pPr>
              <w:pStyle w:val="ListParagraph"/>
              <w:spacing w:after="0" w:line="360" w:lineRule="auto"/>
              <w:ind w:left="737"/>
              <w:contextualSpacing w:val="0"/>
              <w:jc w:val="both"/>
              <w:rPr>
                <w:rFonts w:ascii="Times New Roman" w:hAnsi="Times New Roman"/>
                <w:i/>
              </w:rPr>
            </w:pPr>
            <w:r w:rsidRPr="00C321EA">
              <w:rPr>
                <w:rFonts w:ascii="Times New Roman" w:hAnsi="Times New Roman"/>
                <w:i/>
              </w:rPr>
              <w:t xml:space="preserve">„O jednáních dozorčí rady a přijatých usneseních se vyhotovuje zápis, který podepisuje předsedající a zapisovatel s tím, že v případě účasti předsedajícího nebo zapisovatele na zasedání dozorčí rady pomocí </w:t>
            </w:r>
            <w:r w:rsidRPr="00C321EA">
              <w:rPr>
                <w:rFonts w:ascii="Times New Roman" w:hAnsi="Times New Roman"/>
                <w:i/>
              </w:rPr>
              <w:lastRenderedPageBreak/>
              <w:t>technických prostředků, nemusí být zápis podepsán předsedajícím a zapisovatelem na jedné listině. Zápis ze zasedání dozorčí rady musí obsahovat den zasedání, pořadové číslo zápisu, jména zúčastněných členů dozorčí rady, přesný obsah přijatých usnesení a výsledky hlasování podle jmen. P</w:t>
            </w:r>
            <w:r w:rsidRPr="00C321EA">
              <w:rPr>
                <w:rFonts w:hint="eastAsia" w:ascii="Times New Roman" w:hAnsi="Times New Roman"/>
                <w:i/>
              </w:rPr>
              <w:t>ří</w:t>
            </w:r>
            <w:r w:rsidRPr="00C321EA">
              <w:rPr>
                <w:rFonts w:ascii="Times New Roman" w:hAnsi="Times New Roman"/>
                <w:i/>
              </w:rPr>
              <w:t>lohou z</w:t>
            </w:r>
            <w:r w:rsidRPr="00C321EA">
              <w:rPr>
                <w:rFonts w:hint="eastAsia" w:ascii="Times New Roman" w:hAnsi="Times New Roman"/>
                <w:i/>
              </w:rPr>
              <w:t>á</w:t>
            </w:r>
            <w:r w:rsidRPr="00C321EA">
              <w:rPr>
                <w:rFonts w:ascii="Times New Roman" w:hAnsi="Times New Roman"/>
                <w:i/>
              </w:rPr>
              <w:t>pisu je seznam p</w:t>
            </w:r>
            <w:r w:rsidRPr="00C321EA">
              <w:rPr>
                <w:rFonts w:hint="eastAsia" w:ascii="Times New Roman" w:hAnsi="Times New Roman"/>
                <w:i/>
              </w:rPr>
              <w:t>ří</w:t>
            </w:r>
            <w:r w:rsidRPr="00C321EA">
              <w:rPr>
                <w:rFonts w:ascii="Times New Roman" w:hAnsi="Times New Roman"/>
                <w:i/>
              </w:rPr>
              <w:t>tomn</w:t>
            </w:r>
            <w:r w:rsidRPr="00C321EA">
              <w:rPr>
                <w:rFonts w:hint="eastAsia" w:ascii="Times New Roman" w:hAnsi="Times New Roman"/>
                <w:i/>
              </w:rPr>
              <w:t>ý</w:t>
            </w:r>
            <w:r w:rsidRPr="00C321EA">
              <w:rPr>
                <w:rFonts w:ascii="Times New Roman" w:hAnsi="Times New Roman"/>
                <w:i/>
              </w:rPr>
              <w:t>ch s tím, že v případě účasti člena dozorčí rady na zasedání dozorčí rady pomocí technických prostředků, nemusí být seznam přítomných podepsán všemi přítomnými členy dozorčí rady na jedné listině. Zápis se ve stejnopise vždy doručuje všem členům dozorčí rady. Další podrobnosti týkající se zasedání dozorčí rady budou stanoveny v jednacím řádu.“</w:t>
            </w:r>
            <w:r>
              <w:rPr>
                <w:rFonts w:ascii="Times New Roman" w:hAnsi="Times New Roman"/>
                <w:i/>
              </w:rPr>
              <w:t xml:space="preserve"> </w:t>
            </w:r>
            <w:r w:rsidRPr="0009071C">
              <w:rPr>
                <w:rFonts w:ascii="Times New Roman" w:hAnsi="Times New Roman"/>
                <w:b/>
                <w:i/>
              </w:rPr>
              <w:t>“</w:t>
            </w: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71653E" w:rsidR="00EC6CD2" w:rsidP="00EC6CD2" w:rsidRDefault="00EC6CD2" w14:paraId="2DD99F9C" w14:textId="77777777">
            <w:pPr>
              <w:pStyle w:val="ListParagraph"/>
              <w:spacing w:before="120" w:after="120" w:line="240" w:lineRule="auto"/>
              <w:ind w:left="0"/>
              <w:contextualSpacing w:val="0"/>
              <w:jc w:val="center"/>
              <w:rPr>
                <w:rFonts w:ascii="Times New Roman" w:hAnsi="Times New Roman"/>
                <w:b/>
                <w:bCs/>
              </w:rPr>
            </w:pPr>
            <w:r w:rsidRPr="0071653E">
              <w:rPr>
                <w:rFonts w:ascii="Times New Roman" w:hAnsi="Times New Roman"/>
                <w:b/>
                <w:bCs/>
              </w:rPr>
              <w:lastRenderedPageBreak/>
              <w:t>PRO</w:t>
            </w:r>
          </w:p>
          <w:p w:rsidRPr="0071653E" w:rsidR="00EC6CD2" w:rsidP="00EC6CD2" w:rsidRDefault="00EC6CD2" w14:paraId="10CCEA55" w14:textId="77777777">
            <w:pPr>
              <w:pStyle w:val="ListParagraph"/>
              <w:spacing w:before="120" w:after="120" w:line="240" w:lineRule="auto"/>
              <w:ind w:left="0"/>
              <w:contextualSpacing w:val="0"/>
              <w:jc w:val="both"/>
              <w:rPr>
                <w:rFonts w:ascii="Times New Roman" w:hAnsi="Times New Roman"/>
                <w:b/>
                <w:bCs/>
              </w:rPr>
            </w:pPr>
            <w:r w:rsidRPr="0071653E">
              <w:rPr>
                <w:rFonts w:ascii="Times New Roman" w:hAnsi="Times New Roman"/>
                <w:b/>
                <w:bCs/>
                <w:noProof/>
                <w:lang w:eastAsia="cs-CZ"/>
              </w:rPr>
              <mc:AlternateContent>
                <mc:Choice Requires="wps">
                  <w:drawing>
                    <wp:anchor distT="0" distB="0" distL="114300" distR="114300" simplePos="0" relativeHeight="251672576" behindDoc="0" locked="0" layoutInCell="1" allowOverlap="1" wp14:editId="4B446BB8" wp14:anchorId="20467D5F">
                      <wp:simplePos x="0" y="0"/>
                      <wp:positionH relativeFrom="column">
                        <wp:posOffset>232217</wp:posOffset>
                      </wp:positionH>
                      <wp:positionV relativeFrom="paragraph">
                        <wp:posOffset>6653</wp:posOffset>
                      </wp:positionV>
                      <wp:extent cx="424815" cy="414655"/>
                      <wp:effectExtent l="0" t="0" r="13335" b="23495"/>
                      <wp:wrapNone/>
                      <wp:docPr id="5" name="Obdélník 9" descr="" title=""/>
                      <wp:cNvGraphicFramePr/>
                      <a:graphic xmlns:a="http://schemas.openxmlformats.org/drawingml/2006/main">
                        <a:graphicData uri="http://schemas.microsoft.com/office/word/2010/wordprocessingShape">
                          <wps:wsp>
                            <wps:cNvSpPr/>
                            <wps:spPr>
                              <a:xfrm>
                                <a:off x="0" y="0"/>
                                <a:ext cx="424815"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9" style="position:absolute;margin-left:18.3pt;margin-top:.5pt;width:33.45pt;height:32.65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6AE4C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"/>
                  </w:pict>
                </mc:Fallback>
              </mc:AlternateContent>
            </w:r>
          </w:p>
          <w:p w:rsidRPr="0071653E" w:rsidR="00EC6CD2" w:rsidP="00EC6CD2" w:rsidRDefault="00EC6CD2" w14:paraId="7EBDCAB9" w14:textId="77777777">
            <w:pPr>
              <w:pStyle w:val="ListParagraph"/>
              <w:spacing w:before="120" w:after="120" w:line="240" w:lineRule="auto"/>
              <w:ind w:left="0"/>
              <w:contextualSpacing w:val="0"/>
              <w:jc w:val="center"/>
              <w:rPr>
                <w:rFonts w:ascii="Times New Roman" w:hAnsi="Times New Roman"/>
                <w:b/>
                <w:bCs/>
              </w:rPr>
            </w:pPr>
          </w:p>
        </w:tc>
        <w:tc>
          <w:tcPr>
            <w:tcW w:w="938" w:type="pct"/>
            <w:tcBorders>
              <w:top w:val="single" w:color="auto" w:sz="4" w:space="0"/>
              <w:left w:val="single" w:color="auto" w:sz="4" w:space="0"/>
              <w:bottom w:val="single" w:color="auto" w:sz="4" w:space="0"/>
              <w:right w:val="single" w:color="auto" w:sz="4" w:space="0"/>
            </w:tcBorders>
            <w:shd w:val="clear" w:color="auto" w:fill="auto"/>
          </w:tcPr>
          <w:p w:rsidRPr="0071653E" w:rsidR="00EC6CD2" w:rsidP="00EC6CD2" w:rsidRDefault="00EC6CD2" w14:paraId="1AE55341" w14:textId="77777777">
            <w:pPr>
              <w:pStyle w:val="ListParagraph"/>
              <w:spacing w:before="120" w:after="120" w:line="240" w:lineRule="auto"/>
              <w:ind w:left="0"/>
              <w:contextualSpacing w:val="0"/>
              <w:jc w:val="center"/>
              <w:rPr>
                <w:rFonts w:ascii="Times New Roman" w:hAnsi="Times New Roman"/>
                <w:b/>
                <w:bCs/>
              </w:rPr>
            </w:pPr>
            <w:r w:rsidRPr="0071653E">
              <w:rPr>
                <w:rFonts w:ascii="Times New Roman" w:hAnsi="Times New Roman"/>
                <w:b/>
                <w:bCs/>
              </w:rPr>
              <w:t>PROTI</w:t>
            </w:r>
          </w:p>
          <w:p w:rsidRPr="0071653E" w:rsidR="00EC6CD2" w:rsidP="00EC6CD2" w:rsidRDefault="00E87B9D" w14:paraId="521705AE" w14:textId="2D946B21">
            <w:pPr>
              <w:pStyle w:val="ListParagraph"/>
              <w:spacing w:before="120" w:after="120" w:line="240" w:lineRule="auto"/>
              <w:ind w:left="0"/>
              <w:contextualSpacing w:val="0"/>
              <w:jc w:val="center"/>
              <w:rPr>
                <w:rFonts w:ascii="Times New Roman" w:hAnsi="Times New Roman"/>
                <w:b/>
                <w:bCs/>
              </w:rPr>
            </w:pPr>
            <w:r w:rsidRPr="0071653E">
              <w:rPr>
                <w:rFonts w:ascii="Times New Roman" w:hAnsi="Times New Roman"/>
                <w:b/>
                <w:bCs/>
                <w:noProof/>
                <w:lang w:eastAsia="cs-CZ"/>
              </w:rPr>
              <mc:AlternateContent>
                <mc:Choice Requires="wps">
                  <w:drawing>
                    <wp:anchor distT="0" distB="0" distL="114300" distR="114300" simplePos="0" relativeHeight="251673600" behindDoc="0" locked="0" layoutInCell="1" allowOverlap="1" wp14:editId="47C92B56" wp14:anchorId="2115F33C">
                      <wp:simplePos x="0" y="0"/>
                      <wp:positionH relativeFrom="column">
                        <wp:posOffset>259881</wp:posOffset>
                      </wp:positionH>
                      <wp:positionV relativeFrom="paragraph">
                        <wp:posOffset>3479</wp:posOffset>
                      </wp:positionV>
                      <wp:extent cx="425303" cy="414655"/>
                      <wp:effectExtent l="0" t="0" r="13335" b="23495"/>
                      <wp:wrapNone/>
                      <wp:docPr id="6" name="Obdélník 11" descr="" title=""/>
                      <wp:cNvGraphicFramePr/>
                      <a:graphic xmlns:a="http://schemas.openxmlformats.org/drawingml/2006/main">
                        <a:graphicData uri="http://schemas.microsoft.com/office/word/2010/wordprocessingShape">
                          <wps:wsp>
                            <wps:cNvSpPr/>
                            <wps:spPr>
                              <a:xfrm>
                                <a:off x="0" y="0"/>
                                <a:ext cx="425303" cy="414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11" style="position:absolute;margin-left:20.45pt;margin-top:.25pt;width:33.5pt;height:32.6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1pt" w14:anchorId="1DF28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"/>
                  </w:pict>
                </mc:Fallback>
              </mc:AlternateContent>
            </w:r>
          </w:p>
        </w:tc>
      </w:tr>
      <w:tr w:rsidRPr="0071653E" w:rsidR="002C32B3" w:rsidTr="001A1540" w14:paraId="229A1706" w14:textId="77777777">
        <w:tc>
          <w:tcPr>
            <w:tcW w:w="5000" w:type="pct"/>
            <w:gridSpan w:val="3"/>
            <w:tcBorders>
              <w:top w:val="single" w:color="auto" w:sz="4" w:space="0"/>
            </w:tcBorders>
            <w:shd w:val="clear" w:color="auto" w:fill="auto"/>
          </w:tcPr>
          <w:p w:rsidRPr="0071653E" w:rsidR="002C32B3" w:rsidP="0071653E" w:rsidRDefault="002C32B3" w14:paraId="1EBBB84D" w14:textId="77777777">
            <w:pPr>
              <w:spacing w:before="120" w:after="120"/>
              <w:jc w:val="both"/>
            </w:pPr>
          </w:p>
        </w:tc>
      </w:tr>
      <w:tr w:rsidRPr="0071653E" w:rsidR="0070063D" w:rsidTr="001A1540" w14:paraId="3184D82B" w14:textId="77777777">
        <w:tc>
          <w:tcPr>
            <w:tcW w:w="5000" w:type="pct"/>
            <w:gridSpan w:val="3"/>
            <w:shd w:val="clear" w:color="auto" w:fill="auto"/>
          </w:tcPr>
          <w:p w:rsidRPr="0071653E" w:rsidR="007D06E0" w:rsidP="0071653E" w:rsidRDefault="007D06E0" w14:paraId="314EE676" w14:textId="77777777">
            <w:pPr>
              <w:pStyle w:val="BodyText"/>
              <w:widowControl w:val="0"/>
              <w:tabs>
                <w:tab w:val="right" w:leader="hyphen" w:pos="9072"/>
              </w:tabs>
              <w:spacing w:before="120" w:after="120"/>
              <w:rPr>
                <w:sz w:val="22"/>
                <w:szCs w:val="22"/>
              </w:rPr>
            </w:pPr>
            <w:r w:rsidRPr="0071653E">
              <w:rPr>
                <w:sz w:val="22"/>
                <w:szCs w:val="22"/>
              </w:rPr>
              <w:t>Místo:</w:t>
            </w:r>
          </w:p>
          <w:p w:rsidRPr="0071653E" w:rsidR="0070063D" w:rsidP="0071653E" w:rsidRDefault="007D06E0" w14:paraId="792592FC" w14:textId="2EE755F3">
            <w:pPr>
              <w:pStyle w:val="BodyText"/>
              <w:widowControl w:val="0"/>
              <w:tabs>
                <w:tab w:val="right" w:leader="hyphen" w:pos="9072"/>
              </w:tabs>
              <w:spacing w:before="120" w:after="120"/>
              <w:rPr>
                <w:sz w:val="22"/>
                <w:szCs w:val="22"/>
              </w:rPr>
            </w:pPr>
            <w:r w:rsidRPr="0071653E">
              <w:rPr>
                <w:sz w:val="22"/>
                <w:szCs w:val="22"/>
              </w:rPr>
              <w:t>Datum:</w:t>
            </w:r>
          </w:p>
        </w:tc>
      </w:tr>
      <w:tr w:rsidRPr="0071653E" w:rsidR="005861AD" w:rsidTr="0070063D" w14:paraId="734837A7" w14:textId="77777777">
        <w:tc>
          <w:tcPr>
            <w:tcW w:w="5000" w:type="pct"/>
            <w:gridSpan w:val="3"/>
            <w:shd w:val="clear" w:color="auto" w:fill="auto"/>
          </w:tcPr>
          <w:p w:rsidRPr="0071653E" w:rsidR="005861AD" w:rsidP="0071653E" w:rsidRDefault="005861AD" w14:paraId="0C497B6B" w14:textId="320076F2">
            <w:pPr>
              <w:spacing w:before="120" w:after="120"/>
              <w:jc w:val="both"/>
            </w:pPr>
          </w:p>
          <w:p w:rsidRPr="0071653E" w:rsidR="002C32B3" w:rsidP="0071653E" w:rsidRDefault="002C32B3" w14:paraId="56DFE56C" w14:textId="77777777">
            <w:pPr>
              <w:spacing w:before="120" w:after="120"/>
              <w:jc w:val="both"/>
            </w:pPr>
          </w:p>
          <w:p w:rsidRPr="0071653E" w:rsidR="005861AD" w:rsidP="0071653E" w:rsidRDefault="005861AD" w14:paraId="7A107589" w14:textId="77777777">
            <w:pPr>
              <w:spacing w:before="120" w:after="120"/>
              <w:jc w:val="both"/>
            </w:pPr>
            <w:r w:rsidRPr="0071653E">
              <w:t>………………………………………………………………………………………………………...</w:t>
            </w:r>
          </w:p>
          <w:p w:rsidRPr="0071653E" w:rsidR="007D06E0" w:rsidP="0071653E" w:rsidRDefault="007D06E0" w14:paraId="5038F232" w14:textId="77777777">
            <w:pPr>
              <w:widowControl w:val="0"/>
              <w:spacing w:before="120" w:after="120"/>
            </w:pPr>
            <w:r w:rsidRPr="0071653E">
              <w:t>Podpis akcionáře / zástupce (podepisující osoba)</w:t>
            </w:r>
          </w:p>
          <w:p w:rsidRPr="0071653E" w:rsidR="005861AD" w:rsidP="0071653E" w:rsidRDefault="0086550F" w14:paraId="35C8CC09" w14:textId="04EBEBCD">
            <w:pPr>
              <w:spacing w:before="120" w:after="120"/>
              <w:jc w:val="both"/>
              <w:rPr>
                <w:sz w:val="20"/>
                <w:szCs w:val="20"/>
              </w:rPr>
            </w:pPr>
            <w:r>
              <w:rPr>
                <w:sz w:val="20"/>
                <w:szCs w:val="20"/>
              </w:rPr>
              <w:t>[</w:t>
            </w:r>
            <w:r w:rsidRPr="0071653E" w:rsidR="007D06E0">
              <w:rPr>
                <w:sz w:val="20"/>
                <w:szCs w:val="20"/>
              </w:rPr>
              <w:t>úředně ověřený podpis]</w:t>
            </w:r>
          </w:p>
        </w:tc>
      </w:tr>
    </w:tbl>
    <w:p w:rsidRPr="0071653E" w:rsidR="00B853EC" w:rsidP="0071653E" w:rsidRDefault="00B853EC" w14:paraId="58651F1F" w14:textId="77777777">
      <w:pPr>
        <w:spacing w:before="120" w:after="120"/>
        <w:jc w:val="both"/>
      </w:pPr>
      <w:bookmarkStart w:name="_GoBack" w:id="0"/>
      <w:bookmarkEnd w:id="0"/>
    </w:p>
    <w:sectPr w:rsidRPr="0071653E" w:rsidR="00B853EC" w:rsidSect="00A11CD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429F1D" w16cid:durableId="237294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671" w:rsidRDefault="00AA0671" w14:paraId="5C11B6FA" w14:textId="77777777">
      <w:r>
        <w:separator/>
      </w:r>
    </w:p>
  </w:endnote>
  <w:endnote w:type="continuationSeparator" w:id="0">
    <w:p w:rsidR="00AA0671" w:rsidRDefault="00AA0671" w14:paraId="200E07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081" w:rsidRDefault="00C16081" w14:paraId="65A1AC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081" w:rsidRDefault="00C16081" w14:paraId="60849EF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081" w:rsidRDefault="00C16081" w14:paraId="213BB7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671" w:rsidRDefault="00AA0671" w14:paraId="4BEA86DA" w14:textId="77777777">
      <w:r>
        <w:separator/>
      </w:r>
    </w:p>
  </w:footnote>
  <w:footnote w:type="continuationSeparator" w:id="0">
    <w:p w:rsidR="00AA0671" w:rsidRDefault="00AA0671" w14:paraId="76A30F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081" w:rsidRDefault="00C16081" w14:paraId="05DB39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081" w:rsidRDefault="00C16081" w14:paraId="7265EF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081" w:rsidRDefault="00C16081" w14:paraId="20E979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F7707"/>
    <w:multiLevelType w:val="hybridMultilevel"/>
    <w:tmpl w:val="7F2AFA96"/>
    <w:lvl w:ilvl="0" w:tplc="52C4B67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E2C50AF"/>
    <w:multiLevelType w:val="multilevel"/>
    <w:tmpl w:val="C1D20D1E"/>
    <w:lvl w:ilvl="0">
      <w:start w:val="5"/>
      <w:numFmt w:val="decimal"/>
      <w:lvlText w:val="%1."/>
      <w:lvlJc w:val="left"/>
      <w:pPr>
        <w:ind w:left="737" w:hanging="737"/>
      </w:pPr>
      <w:rPr>
        <w:rFonts w:ascii="Arial" w:hAnsi="Arial" w:cs="Arial" w:hint="default"/>
        <w:b/>
        <w:i w:val="0"/>
        <w:sz w:val="24"/>
      </w:rPr>
    </w:lvl>
    <w:lvl w:ilvl="1">
      <w:start w:val="1"/>
      <w:numFmt w:val="decimal"/>
      <w:lvlText w:val="%1.%2."/>
      <w:lvlJc w:val="left"/>
      <w:pPr>
        <w:ind w:left="737" w:hanging="737"/>
      </w:pPr>
      <w:rPr>
        <w:rFonts w:ascii="Arial" w:hAnsi="Arial" w:cs="Arial" w:hint="default"/>
        <w:b w:val="0"/>
        <w:i w:val="0"/>
        <w:sz w:val="22"/>
        <w:szCs w:val="22"/>
      </w:rPr>
    </w:lvl>
    <w:lvl w:ilvl="2">
      <w:start w:val="1"/>
      <w:numFmt w:val="lowerLetter"/>
      <w:lvlText w:val="%3)"/>
      <w:lvlJc w:val="left"/>
      <w:pPr>
        <w:ind w:left="1701" w:hanging="9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8D68DD"/>
    <w:multiLevelType w:val="hybridMultilevel"/>
    <w:tmpl w:val="5E3ED7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00"/>
    <w:rsid w:val="000715FE"/>
    <w:rsid w:val="0009071C"/>
    <w:rsid w:val="000E720B"/>
    <w:rsid w:val="000F13F8"/>
    <w:rsid w:val="00181342"/>
    <w:rsid w:val="001A1540"/>
    <w:rsid w:val="001B5984"/>
    <w:rsid w:val="002C32B3"/>
    <w:rsid w:val="0035433E"/>
    <w:rsid w:val="003B4BB8"/>
    <w:rsid w:val="00497C5C"/>
    <w:rsid w:val="00564793"/>
    <w:rsid w:val="0058460D"/>
    <w:rsid w:val="005861AD"/>
    <w:rsid w:val="00673A00"/>
    <w:rsid w:val="006A0A81"/>
    <w:rsid w:val="006D36FF"/>
    <w:rsid w:val="0070063D"/>
    <w:rsid w:val="0071653E"/>
    <w:rsid w:val="0073229D"/>
    <w:rsid w:val="00746B70"/>
    <w:rsid w:val="00785835"/>
    <w:rsid w:val="00796844"/>
    <w:rsid w:val="007D06E0"/>
    <w:rsid w:val="0086550F"/>
    <w:rsid w:val="008C4A12"/>
    <w:rsid w:val="00A16FC3"/>
    <w:rsid w:val="00A82A0D"/>
    <w:rsid w:val="00AA0671"/>
    <w:rsid w:val="00B432BB"/>
    <w:rsid w:val="00B853EC"/>
    <w:rsid w:val="00C16081"/>
    <w:rsid w:val="00C562F9"/>
    <w:rsid w:val="00E019E0"/>
    <w:rsid w:val="00E423B1"/>
    <w:rsid w:val="00E53398"/>
    <w:rsid w:val="00E87B9D"/>
    <w:rsid w:val="00EC2AE3"/>
    <w:rsid w:val="00EC6CD2"/>
    <w:rsid w:val="00FA3C85"/>
    <w:rsid w:val="00FE0837"/>
    <w:rsid w:val="00FE4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8A6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4132"/>
    <w:pPr>
      <w:spacing w:after="0" w:line="240" w:lineRule="auto"/>
    </w:pPr>
    <w:rPr>
      <w:rFonts w:ascii="Times New Roman" w:hAnsi="Times New Roman" w:eastAsia="Times New Roman" w:cs="Times New Roman"/>
      <w:lang w:eastAsia="cs-CZ"/>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FE4132"/>
    <w:rPr>
      <w:snapToGrid w:val="0"/>
      <w:color w:val="000000"/>
      <w:sz w:val="24"/>
      <w:szCs w:val="20"/>
    </w:rPr>
  </w:style>
  <w:style w:type="character" w:styleId="BodyTextChar" w:customStyle="1">
    <w:name w:val="Body Text Char"/>
    <w:basedOn w:val="DefaultParagraphFont"/>
    <w:link w:val="BodyText"/>
    <w:rsid w:val="00FE4132"/>
    <w:rPr>
      <w:rFonts w:ascii="Times New Roman" w:hAnsi="Times New Roman" w:eastAsia="Times New Roman" w:cs="Times New Roman"/>
      <w:snapToGrid w:val="0"/>
      <w:color w:val="000000"/>
      <w:sz w:val="24"/>
      <w:szCs w:val="20"/>
      <w:lang w:eastAsia="cs-CZ"/>
    </w:rPr>
  </w:style>
  <w:style w:type="paragraph" w:styleId="Header">
    <w:name w:val="header"/>
    <w:basedOn w:val="Normal"/>
    <w:link w:val="HeaderChar"/>
    <w:uiPriority w:val="99"/>
    <w:rsid w:val="00FE4132"/>
    <w:pPr>
      <w:tabs>
        <w:tab w:val="center" w:pos="4153"/>
        <w:tab w:val="right" w:pos="8306"/>
      </w:tabs>
    </w:pPr>
    <w:rPr>
      <w:sz w:val="20"/>
      <w:szCs w:val="20"/>
      <w:lang w:eastAsia="en-US"/>
    </w:rPr>
  </w:style>
  <w:style w:type="character" w:styleId="HeaderChar" w:customStyle="1">
    <w:name w:val="Header Char"/>
    <w:basedOn w:val="DefaultParagraphFont"/>
    <w:link w:val="Header"/>
    <w:uiPriority w:val="99"/>
    <w:rsid w:val="00FE4132"/>
    <w:rPr>
      <w:rFonts w:ascii="Times New Roman" w:hAnsi="Times New Roman" w:eastAsia="Times New Roman" w:cs="Times New Roman"/>
      <w:sz w:val="20"/>
      <w:szCs w:val="20"/>
    </w:rPr>
  </w:style>
  <w:style w:type="paragraph" w:styleId="ListParagraph">
    <w:name w:val="List Paragraph"/>
    <w:basedOn w:val="Normal"/>
    <w:uiPriority w:val="34"/>
    <w:qFormat/>
    <w:rsid w:val="00FE4132"/>
    <w:pPr>
      <w:spacing w:after="200" w:line="276" w:lineRule="auto"/>
      <w:ind w:left="720"/>
      <w:contextualSpacing/>
    </w:pPr>
    <w:rPr>
      <w:rFonts w:ascii="Calibri" w:hAnsi="Calibri" w:eastAsia="Calibri"/>
      <w:lang w:eastAsia="en-US"/>
    </w:rPr>
  </w:style>
  <w:style w:type="table" w:styleId="TableGrid">
    <w:name w:val="Table Grid"/>
    <w:basedOn w:val="TableNormal"/>
    <w:rsid w:val="00FE4132"/>
    <w:pPr>
      <w:spacing w:after="0" w:line="240" w:lineRule="auto"/>
    </w:pPr>
    <w:rPr>
      <w:rFonts w:ascii="Times New Roman" w:hAnsi="Times New Roman" w:eastAsia="Times New Roma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FE4132"/>
    <w:pPr>
      <w:tabs>
        <w:tab w:val="center" w:pos="4536"/>
        <w:tab w:val="right" w:pos="9072"/>
      </w:tabs>
    </w:pPr>
  </w:style>
  <w:style w:type="character" w:styleId="FooterChar" w:customStyle="1">
    <w:name w:val="Footer Char"/>
    <w:basedOn w:val="DefaultParagraphFont"/>
    <w:link w:val="Footer"/>
    <w:uiPriority w:val="99"/>
    <w:rsid w:val="00FE4132"/>
    <w:rPr>
      <w:rFonts w:ascii="Times New Roman" w:hAnsi="Times New Roman" w:eastAsia="Times New Roman" w:cs="Times New Roman"/>
      <w:lang w:eastAsia="cs-CZ"/>
    </w:rPr>
  </w:style>
  <w:style w:type="character" w:styleId="CommentReference">
    <w:name w:val="annotation reference"/>
    <w:rsid w:val="00FE4132"/>
    <w:rPr>
      <w:sz w:val="16"/>
      <w:szCs w:val="16"/>
    </w:rPr>
  </w:style>
  <w:style w:type="paragraph" w:styleId="CommentText">
    <w:name w:val="annotation text"/>
    <w:basedOn w:val="Normal"/>
    <w:link w:val="CommentTextChar"/>
    <w:rsid w:val="00FE4132"/>
    <w:rPr>
      <w:sz w:val="20"/>
      <w:szCs w:val="20"/>
    </w:rPr>
  </w:style>
  <w:style w:type="character" w:styleId="CommentTextChar" w:customStyle="1">
    <w:name w:val="Comment Text Char"/>
    <w:basedOn w:val="DefaultParagraphFont"/>
    <w:link w:val="CommentText"/>
    <w:rsid w:val="00FE4132"/>
    <w:rPr>
      <w:rFonts w:ascii="Times New Roman" w:hAnsi="Times New Roman" w:eastAsia="Times New Roman" w:cs="Times New Roman"/>
      <w:sz w:val="20"/>
      <w:szCs w:val="20"/>
      <w:lang w:eastAsia="cs-CZ"/>
    </w:rPr>
  </w:style>
  <w:style w:type="paragraph" w:styleId="BalloonText">
    <w:name w:val="Balloon Text"/>
    <w:basedOn w:val="Normal"/>
    <w:link w:val="BalloonTextChar"/>
    <w:uiPriority w:val="99"/>
    <w:semiHidden/>
    <w:unhideWhenUsed/>
    <w:rsid w:val="00FE413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E4132"/>
    <w:rPr>
      <w:rFonts w:ascii="Segoe UI" w:hAnsi="Segoe UI" w:eastAsia="Times New Roman" w:cs="Segoe UI"/>
      <w:sz w:val="18"/>
      <w:szCs w:val="18"/>
      <w:lang w:eastAsia="cs-CZ"/>
    </w:rPr>
  </w:style>
  <w:style w:type="paragraph" w:styleId="Revision">
    <w:name w:val="Revision"/>
    <w:hidden/>
    <w:uiPriority w:val="99"/>
    <w:semiHidden/>
    <w:rsid w:val="00E423B1"/>
    <w:pPr>
      <w:spacing w:after="0" w:line="240" w:lineRule="auto"/>
    </w:pPr>
    <w:rPr>
      <w:rFonts w:ascii="Times New Roman" w:hAnsi="Times New Roman" w:eastAsia="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331471">
      <w:bodyDiv w:val="1"/>
      <w:marLeft w:val="0"/>
      <w:marRight w:val="0"/>
      <w:marTop w:val="0"/>
      <w:marBottom w:val="0"/>
      <w:divBdr>
        <w:top w:val="none" w:sz="0" w:space="0" w:color="auto"/>
        <w:left w:val="none" w:sz="0" w:space="0" w:color="auto"/>
        <w:bottom w:val="none" w:sz="0" w:space="0" w:color="auto"/>
        <w:right w:val="none" w:sz="0" w:space="0" w:color="auto"/>
      </w:divBdr>
    </w:div>
    <w:div w:id="1205943133">
      <w:bodyDiv w:val="1"/>
      <w:marLeft w:val="0"/>
      <w:marRight w:val="0"/>
      <w:marTop w:val="0"/>
      <w:marBottom w:val="0"/>
      <w:divBdr>
        <w:top w:val="none" w:sz="0" w:space="0" w:color="auto"/>
        <w:left w:val="none" w:sz="0" w:space="0" w:color="auto"/>
        <w:bottom w:val="none" w:sz="0" w:space="0" w:color="auto"/>
        <w:right w:val="none" w:sz="0" w:space="0" w:color="auto"/>
      </w:divBdr>
    </w:div>
    <w:div w:id="13134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16/09/relationships/commentsIds" Target="commentsId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42e67a54-274b-43d7-8098-b3ba5f50e576_Enabled">
    <vt:lpwstr>True</vt:lpwstr>
  </op:property>
  <op:property fmtid="{D5CDD505-2E9C-101B-9397-08002B2CF9AE}" pid="3" name="MSIP_Label_42e67a54-274b-43d7-8098-b3ba5f50e576_SiteId">
    <vt:lpwstr>7f0b44d2-04f8-4672-bf5d-4676796468a3</vt:lpwstr>
  </op:property>
  <op:property fmtid="{D5CDD505-2E9C-101B-9397-08002B2CF9AE}" pid="4" name="MSIP_Label_42e67a54-274b-43d7-8098-b3ba5f50e576_Owner">
    <vt:lpwstr>Tereza.Veverkova@allenovery.com</vt:lpwstr>
  </op:property>
  <op:property fmtid="{D5CDD505-2E9C-101B-9397-08002B2CF9AE}" pid="5" name="MSIP_Label_42e67a54-274b-43d7-8098-b3ba5f50e576_SetDate">
    <vt:lpwstr>2021-02-03T19:58:03.0346443Z</vt:lpwstr>
  </op:property>
  <op:property fmtid="{D5CDD505-2E9C-101B-9397-08002B2CF9AE}" pid="6" name="MSIP_Label_42e67a54-274b-43d7-8098-b3ba5f50e576_Name">
    <vt:lpwstr>Restricted</vt:lpwstr>
  </op:property>
  <op:property fmtid="{D5CDD505-2E9C-101B-9397-08002B2CF9AE}" pid="7" name="MSIP_Label_42e67a54-274b-43d7-8098-b3ba5f50e576_Application">
    <vt:lpwstr>Microsoft Azure Information Protection</vt:lpwstr>
  </op:property>
  <op:property fmtid="{D5CDD505-2E9C-101B-9397-08002B2CF9AE}" pid="8" name="MSIP_Label_42e67a54-274b-43d7-8098-b3ba5f50e576_ActionId">
    <vt:lpwstr>49590691-16ad-4266-845d-575704eeb7da</vt:lpwstr>
  </op:property>
  <op:property fmtid="{D5CDD505-2E9C-101B-9397-08002B2CF9AE}" pid="9" name="MSIP_Label_42e67a54-274b-43d7-8098-b3ba5f50e576_Extended_MSFT_Method">
    <vt:lpwstr>Automatic</vt:lpwstr>
  </op:property>
  <op:property fmtid="{D5CDD505-2E9C-101B-9397-08002B2CF9AE}" pid="11" name="Client">
    <vt:lpwstr>0129004</vt:lpwstr>
  </op:property>
  <op:property fmtid="{D5CDD505-2E9C-101B-9397-08002B2CF9AE}" pid="12" name="Matter">
    <vt:lpwstr>0000002</vt:lpwstr>
  </op:property>
  <op:property fmtid="{D5CDD505-2E9C-101B-9397-08002B2CF9AE}" pid="13" name="cpDocRef">
    <vt:lpwstr>EUO1: 2002399007.2</vt:lpwstr>
  </op:property>
  <op:property fmtid="{D5CDD505-2E9C-101B-9397-08002B2CF9AE}" pid="14" name="cpClientMatter">
    <vt:lpwstr>0129004-0000002</vt:lpwstr>
  </op:property>
  <op:property fmtid="{D5CDD505-2E9C-101B-9397-08002B2CF9AE}" pid="15" name="cpCombinedRef">
    <vt:lpwstr>0129004-0000002 EUO1: 2002399007.2</vt:lpwstr>
  </op:property>
</op:Properties>
</file>