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42" w:type="dxa"/>
          <w:right w:w="142" w:type="dxa"/>
        </w:tblCellMar>
        <w:tblLook w:val="04A0" w:firstRow="1" w:lastRow="0" w:firstColumn="1" w:lastColumn="0" w:noHBand="0" w:noVBand="1"/>
      </w:tblPr>
      <w:tblGrid>
        <w:gridCol w:w="9072"/>
      </w:tblGrid>
      <w:tr w:rsidRPr="00E0156E" w:rsidR="00FE4132" w:rsidTr="005861AD" w14:paraId="77B8419C" w14:textId="77777777">
        <w:tc>
          <w:tcPr>
            <w:tcW w:w="5000" w:type="pct"/>
            <w:shd w:val="clear" w:color="auto" w:fill="auto"/>
          </w:tcPr>
          <w:p w:rsidRPr="00E0156E" w:rsidR="005861AD" w:rsidP="0070063D" w:rsidRDefault="005D33C9" w14:paraId="6803D52B" w14:textId="39ACC65E">
            <w:pPr>
              <w:pStyle w:val="BodyText"/>
              <w:tabs>
                <w:tab w:val="left" w:pos="567"/>
                <w:tab w:val="right" w:leader="hyphen" w:pos="9356"/>
              </w:tabs>
              <w:spacing w:before="120" w:after="120"/>
              <w:jc w:val="center"/>
              <w:rPr>
                <w:b/>
                <w:sz w:val="22"/>
                <w:szCs w:val="22"/>
                <w:lang w:val="en-GB"/>
              </w:rPr>
            </w:pPr>
            <w:r w:rsidRPr="00E0156E">
              <w:rPr>
                <w:b/>
                <w:sz w:val="22"/>
                <w:szCs w:val="22"/>
                <w:lang w:val="en-GB"/>
              </w:rPr>
              <w:t xml:space="preserve">SHAREHOLDER’S OPINION ON A DRAFT DECISION OF THE GENERAL MEETING </w:t>
            </w:r>
            <w:r w:rsidRPr="00E0156E" w:rsidR="00CF1F66">
              <w:rPr>
                <w:b/>
                <w:sz w:val="22"/>
                <w:szCs w:val="22"/>
                <w:lang w:val="en-GB"/>
              </w:rPr>
              <w:t xml:space="preserve">TO BE ADOPTED OUTSIDE THE COMPANY’S GENERAL MEETING </w:t>
            </w:r>
            <w:r w:rsidRPr="00E0156E" w:rsidR="005861AD">
              <w:rPr>
                <w:b/>
                <w:sz w:val="22"/>
                <w:szCs w:val="22"/>
                <w:lang w:val="en-GB"/>
              </w:rPr>
              <w:t>(</w:t>
            </w:r>
            <w:r w:rsidRPr="00E0156E" w:rsidR="005861AD">
              <w:rPr>
                <w:b/>
                <w:i/>
                <w:iCs/>
                <w:sz w:val="22"/>
                <w:szCs w:val="22"/>
                <w:lang w:val="en-GB"/>
              </w:rPr>
              <w:t>PER ROLLAM</w:t>
            </w:r>
            <w:r w:rsidRPr="00E0156E" w:rsidR="005861AD">
              <w:rPr>
                <w:b/>
                <w:sz w:val="22"/>
                <w:szCs w:val="22"/>
                <w:lang w:val="en-GB"/>
              </w:rPr>
              <w:t>)</w:t>
            </w:r>
            <w:r w:rsidRPr="00E0156E" w:rsidR="0070063D">
              <w:rPr>
                <w:b/>
                <w:sz w:val="22"/>
                <w:szCs w:val="22"/>
                <w:lang w:val="en-GB"/>
              </w:rPr>
              <w:t xml:space="preserve"> </w:t>
            </w:r>
          </w:p>
          <w:p w:rsidRPr="00E0156E" w:rsidR="0070063D" w:rsidP="0070063D" w:rsidRDefault="0070063D" w14:paraId="6A3FE804" w14:textId="242B13C2">
            <w:pPr>
              <w:pStyle w:val="BodyText"/>
              <w:tabs>
                <w:tab w:val="left" w:pos="567"/>
                <w:tab w:val="right" w:leader="hyphen" w:pos="9356"/>
              </w:tabs>
              <w:spacing w:before="120" w:after="120"/>
              <w:jc w:val="center"/>
              <w:rPr>
                <w:sz w:val="22"/>
                <w:szCs w:val="22"/>
                <w:lang w:val="en-GB"/>
              </w:rPr>
            </w:pPr>
            <w:r w:rsidRPr="00E0156E">
              <w:rPr>
                <w:b/>
                <w:sz w:val="22"/>
                <w:szCs w:val="22"/>
                <w:lang w:val="en-GB"/>
              </w:rPr>
              <w:t>CZG - Česká zbrojovka Group SE</w:t>
            </w:r>
            <w:r w:rsidRPr="00E0156E">
              <w:rPr>
                <w:sz w:val="22"/>
                <w:szCs w:val="22"/>
                <w:lang w:val="en-GB"/>
              </w:rPr>
              <w:t>,</w:t>
            </w:r>
          </w:p>
          <w:p w:rsidR="001C60A1" w:rsidP="001C60A1" w:rsidRDefault="009C2FCB" w14:paraId="14B20501" w14:textId="77777777">
            <w:pPr>
              <w:pStyle w:val="BodyText"/>
              <w:tabs>
                <w:tab w:val="left" w:pos="567"/>
                <w:tab w:val="right" w:leader="hyphen" w:pos="9356"/>
              </w:tabs>
              <w:spacing w:before="120" w:after="120"/>
              <w:contextualSpacing/>
              <w:jc w:val="center"/>
              <w:rPr>
                <w:iCs/>
                <w:spacing w:val="-1"/>
                <w:sz w:val="22"/>
                <w:szCs w:val="22"/>
                <w:lang w:val="en-GB"/>
              </w:rPr>
            </w:pPr>
            <w:r w:rsidRPr="00E0156E">
              <w:rPr>
                <w:sz w:val="22"/>
                <w:szCs w:val="22"/>
                <w:lang w:val="en-GB"/>
              </w:rPr>
              <w:t>with its reg</w:t>
            </w:r>
            <w:r w:rsidR="00827CA0">
              <w:rPr>
                <w:sz w:val="22"/>
                <w:szCs w:val="22"/>
                <w:lang w:val="en-GB"/>
              </w:rPr>
              <w:t>i</w:t>
            </w:r>
            <w:r w:rsidRPr="00E0156E">
              <w:rPr>
                <w:sz w:val="22"/>
                <w:szCs w:val="22"/>
                <w:lang w:val="en-GB"/>
              </w:rPr>
              <w:t>stered office at</w:t>
            </w:r>
            <w:r w:rsidRPr="00E0156E" w:rsidR="0070063D">
              <w:rPr>
                <w:sz w:val="22"/>
                <w:szCs w:val="22"/>
                <w:lang w:val="en-GB"/>
              </w:rPr>
              <w:t xml:space="preserve"> Opletalova 1284/37, Nové Město, 110 00 Pra</w:t>
            </w:r>
            <w:r w:rsidR="00827CA0">
              <w:rPr>
                <w:sz w:val="22"/>
                <w:szCs w:val="22"/>
                <w:lang w:val="en-GB"/>
              </w:rPr>
              <w:t>gue</w:t>
            </w:r>
            <w:r w:rsidRPr="00E0156E" w:rsidR="0070063D">
              <w:rPr>
                <w:sz w:val="22"/>
                <w:szCs w:val="22"/>
                <w:lang w:val="en-GB"/>
              </w:rPr>
              <w:t xml:space="preserve"> 1, I</w:t>
            </w:r>
            <w:r w:rsidRPr="00E0156E">
              <w:rPr>
                <w:sz w:val="22"/>
                <w:szCs w:val="22"/>
                <w:lang w:val="en-GB"/>
              </w:rPr>
              <w:t>D No.</w:t>
            </w:r>
            <w:r w:rsidRPr="00E0156E" w:rsidR="0070063D">
              <w:rPr>
                <w:sz w:val="22"/>
                <w:szCs w:val="22"/>
                <w:lang w:val="en-GB"/>
              </w:rPr>
              <w:t xml:space="preserve">: 291 51 961, </w:t>
            </w:r>
            <w:r w:rsidR="00827CA0">
              <w:rPr>
                <w:sz w:val="22"/>
                <w:szCs w:val="22"/>
                <w:lang w:val="en-GB"/>
              </w:rPr>
              <w:t>re</w:t>
            </w:r>
            <w:r w:rsidRPr="00E0156E">
              <w:rPr>
                <w:sz w:val="22"/>
                <w:szCs w:val="22"/>
                <w:lang w:val="en-GB"/>
              </w:rPr>
              <w:t xml:space="preserve">gistered in the Commercial Register kept by the Municipal Court in Prague, file no. </w:t>
            </w:r>
            <w:r w:rsidRPr="00E0156E" w:rsidR="0070063D">
              <w:rPr>
                <w:sz w:val="22"/>
                <w:szCs w:val="22"/>
                <w:lang w:val="en-GB"/>
              </w:rPr>
              <w:t>H 962</w:t>
            </w:r>
            <w:r w:rsidRPr="00E0156E" w:rsidR="0070063D">
              <w:rPr>
                <w:iCs/>
                <w:spacing w:val="-1"/>
                <w:sz w:val="22"/>
                <w:szCs w:val="22"/>
                <w:lang w:val="en-GB"/>
              </w:rPr>
              <w:t xml:space="preserve"> </w:t>
            </w:r>
          </w:p>
          <w:p w:rsidRPr="00E0156E" w:rsidR="0070063D" w:rsidP="001C60A1" w:rsidRDefault="0070063D" w14:paraId="63CE2D99" w14:textId="55C2292A">
            <w:pPr>
              <w:pStyle w:val="BodyText"/>
              <w:tabs>
                <w:tab w:val="left" w:pos="567"/>
                <w:tab w:val="right" w:leader="hyphen" w:pos="9356"/>
              </w:tabs>
              <w:spacing w:before="120" w:after="120"/>
              <w:contextualSpacing/>
              <w:jc w:val="center"/>
              <w:rPr>
                <w:b/>
                <w:sz w:val="22"/>
                <w:szCs w:val="22"/>
                <w:lang w:val="en-GB"/>
              </w:rPr>
            </w:pPr>
            <w:r w:rsidRPr="00E0156E">
              <w:rPr>
                <w:iCs/>
                <w:sz w:val="22"/>
                <w:szCs w:val="22"/>
                <w:lang w:val="en-GB"/>
              </w:rPr>
              <w:t>(</w:t>
            </w:r>
            <w:r w:rsidR="001C60A1">
              <w:rPr>
                <w:iCs/>
                <w:sz w:val="22"/>
                <w:szCs w:val="22"/>
                <w:lang w:val="en-GB"/>
              </w:rPr>
              <w:t>the “</w:t>
            </w:r>
            <w:r w:rsidRPr="001C60A1" w:rsidR="001C60A1">
              <w:rPr>
                <w:b/>
                <w:bCs/>
                <w:iCs/>
                <w:sz w:val="22"/>
                <w:szCs w:val="22"/>
                <w:lang w:val="en-GB"/>
              </w:rPr>
              <w:t>Company</w:t>
            </w:r>
            <w:r w:rsidRPr="00E0156E">
              <w:rPr>
                <w:iCs/>
                <w:sz w:val="22"/>
                <w:szCs w:val="22"/>
                <w:lang w:val="en-GB"/>
              </w:rPr>
              <w:t>”)</w:t>
            </w:r>
            <w:r w:rsidRPr="00E0156E">
              <w:rPr>
                <w:sz w:val="22"/>
                <w:szCs w:val="22"/>
                <w:lang w:val="en-GB"/>
              </w:rPr>
              <w:t>,</w:t>
            </w:r>
          </w:p>
        </w:tc>
      </w:tr>
      <w:tr w:rsidRPr="00E0156E" w:rsidR="00FE4132" w:rsidTr="005861AD" w14:paraId="65C2FB4F" w14:textId="77777777">
        <w:trPr>
          <w:trHeight w:val="1601"/>
        </w:trPr>
        <w:tc>
          <w:tcPr>
            <w:tcW w:w="5000" w:type="pct"/>
            <w:shd w:val="clear" w:color="auto" w:fill="auto"/>
          </w:tcPr>
          <w:p w:rsidRPr="00E0156E" w:rsidR="0070063D" w:rsidP="002C32B3" w:rsidRDefault="001C60A1" w14:paraId="72BA079D" w14:textId="1C92318F">
            <w:pPr>
              <w:pStyle w:val="BodyText"/>
              <w:tabs>
                <w:tab w:val="left" w:pos="567"/>
                <w:tab w:val="right" w:leader="hyphen" w:pos="9356"/>
              </w:tabs>
              <w:spacing w:before="120" w:after="120"/>
              <w:jc w:val="both"/>
              <w:rPr>
                <w:bCs/>
                <w:iCs/>
                <w:sz w:val="22"/>
                <w:szCs w:val="22"/>
                <w:lang w:val="en-GB"/>
              </w:rPr>
            </w:pPr>
            <w:r>
              <w:rPr>
                <w:sz w:val="22"/>
                <w:szCs w:val="22"/>
                <w:lang w:val="en-GB"/>
              </w:rPr>
              <w:t>under</w:t>
            </w:r>
            <w:r w:rsidRPr="00AA467D" w:rsidR="00AA467D">
              <w:rPr>
                <w:sz w:val="22"/>
                <w:szCs w:val="22"/>
                <w:lang w:val="en-GB"/>
              </w:rPr>
              <w:t xml:space="preserve"> the provisions of Section 18 et seq. of Act No. 191/2020 Sb., on Certain Measures to Mitigate the Effects of the SARS CoV-2 Coronavirus Epidemic on Persons Involved in Legal Proceedings, Victims of Criminal Offences and Legal Entities, and on Amendments to the Insolvency Act and to the Code of Civil Procedure, as amended, in connection with the provisions of Section 418 et seq. of Act No. 90/2012 Sb., on Companies and Cooperatives (the Corporations Act), as amended</w:t>
            </w:r>
            <w:r w:rsidRPr="00E0156E" w:rsidR="0070063D">
              <w:rPr>
                <w:bCs/>
                <w:iCs/>
                <w:sz w:val="22"/>
                <w:szCs w:val="22"/>
                <w:lang w:val="en-GB"/>
              </w:rPr>
              <w:t>.</w:t>
            </w:r>
          </w:p>
        </w:tc>
      </w:tr>
      <w:tr w:rsidRPr="00E0156E" w:rsidR="00FE4132" w:rsidTr="005861AD" w14:paraId="66179EC9" w14:textId="77777777">
        <w:tc>
          <w:tcPr>
            <w:tcW w:w="5000" w:type="pct"/>
            <w:shd w:val="clear" w:color="auto" w:fill="auto"/>
          </w:tcPr>
          <w:p w:rsidRPr="00E0156E" w:rsidR="0035433E" w:rsidP="002C32B3" w:rsidRDefault="0035433E" w14:paraId="22B20BAA" w14:textId="77777777">
            <w:pPr>
              <w:pStyle w:val="BodyText"/>
              <w:spacing w:before="120" w:after="120"/>
              <w:jc w:val="both"/>
              <w:rPr>
                <w:sz w:val="22"/>
                <w:szCs w:val="22"/>
                <w:lang w:val="en-GB"/>
              </w:rPr>
            </w:pPr>
          </w:p>
          <w:p w:rsidRPr="00E0156E" w:rsidR="00FE4132" w:rsidP="002C32B3" w:rsidRDefault="00FE4132" w14:paraId="4A86BBE5" w14:textId="3FA7C80A">
            <w:pPr>
              <w:pStyle w:val="BodyText"/>
              <w:spacing w:before="120" w:after="120"/>
              <w:jc w:val="both"/>
              <w:rPr>
                <w:sz w:val="22"/>
                <w:szCs w:val="22"/>
                <w:lang w:val="en-GB"/>
              </w:rPr>
            </w:pPr>
            <w:r w:rsidRPr="00E0156E">
              <w:rPr>
                <w:sz w:val="22"/>
                <w:szCs w:val="22"/>
                <w:lang w:val="en-GB"/>
              </w:rPr>
              <w:t>………………………………………………………………………………………………………...</w:t>
            </w:r>
          </w:p>
          <w:p w:rsidRPr="00E0156E" w:rsidR="00FE4132" w:rsidP="002C32B3" w:rsidRDefault="00E0156E" w14:paraId="1A91CAA3" w14:textId="4EDC5436">
            <w:pPr>
              <w:pStyle w:val="BodyText"/>
              <w:spacing w:before="120" w:after="120"/>
              <w:jc w:val="both"/>
              <w:rPr>
                <w:sz w:val="22"/>
                <w:szCs w:val="22"/>
                <w:lang w:val="en-GB"/>
              </w:rPr>
            </w:pPr>
            <w:r w:rsidRPr="00E0156E">
              <w:rPr>
                <w:sz w:val="22"/>
                <w:szCs w:val="22"/>
                <w:lang w:val="en-GB"/>
              </w:rPr>
              <w:t>Shareholder’s name and surname</w:t>
            </w:r>
            <w:r w:rsidRPr="00E0156E" w:rsidR="00FE4132">
              <w:rPr>
                <w:sz w:val="22"/>
                <w:szCs w:val="22"/>
                <w:lang w:val="en-GB"/>
              </w:rPr>
              <w:t xml:space="preserve"> / </w:t>
            </w:r>
            <w:r w:rsidRPr="00E0156E">
              <w:rPr>
                <w:sz w:val="22"/>
                <w:szCs w:val="22"/>
                <w:lang w:val="en-GB"/>
              </w:rPr>
              <w:t>busin</w:t>
            </w:r>
            <w:r w:rsidR="001E7DAE">
              <w:rPr>
                <w:sz w:val="22"/>
                <w:szCs w:val="22"/>
                <w:lang w:val="en-GB"/>
              </w:rPr>
              <w:t>e</w:t>
            </w:r>
            <w:r w:rsidRPr="00E0156E">
              <w:rPr>
                <w:sz w:val="22"/>
                <w:szCs w:val="22"/>
                <w:lang w:val="en-GB"/>
              </w:rPr>
              <w:t>ss name</w:t>
            </w:r>
          </w:p>
        </w:tc>
      </w:tr>
      <w:tr w:rsidRPr="00E0156E" w:rsidR="00FE4132" w:rsidTr="005861AD" w14:paraId="59FAF3D8" w14:textId="77777777">
        <w:tc>
          <w:tcPr>
            <w:tcW w:w="5000" w:type="pct"/>
            <w:shd w:val="clear" w:color="auto" w:fill="auto"/>
          </w:tcPr>
          <w:p w:rsidRPr="00E0156E" w:rsidR="00FE4132" w:rsidP="002C32B3" w:rsidRDefault="00FE4132" w14:paraId="3A064B21" w14:textId="77777777">
            <w:pPr>
              <w:pStyle w:val="BodyText"/>
              <w:spacing w:before="120" w:after="120"/>
              <w:jc w:val="both"/>
              <w:rPr>
                <w:sz w:val="22"/>
                <w:szCs w:val="22"/>
                <w:lang w:val="en-GB"/>
              </w:rPr>
            </w:pPr>
          </w:p>
          <w:p w:rsidRPr="00E0156E" w:rsidR="00FE4132" w:rsidP="002C32B3" w:rsidRDefault="00FE4132" w14:paraId="31578562" w14:textId="35DEA901">
            <w:pPr>
              <w:pStyle w:val="BodyText"/>
              <w:spacing w:before="120" w:after="120"/>
              <w:jc w:val="both"/>
              <w:rPr>
                <w:sz w:val="22"/>
                <w:szCs w:val="22"/>
                <w:lang w:val="en-GB"/>
              </w:rPr>
            </w:pPr>
            <w:r w:rsidRPr="00E0156E">
              <w:rPr>
                <w:sz w:val="22"/>
                <w:szCs w:val="22"/>
                <w:lang w:val="en-GB"/>
              </w:rPr>
              <w:t>………………………………………………………………………………………………………...</w:t>
            </w:r>
          </w:p>
          <w:p w:rsidRPr="00E0156E" w:rsidR="00FE4132" w:rsidP="002C32B3" w:rsidRDefault="00E0156E" w14:paraId="3333817A" w14:textId="56014E65">
            <w:pPr>
              <w:pStyle w:val="BodyText"/>
              <w:spacing w:before="120" w:after="120"/>
              <w:jc w:val="both"/>
              <w:rPr>
                <w:sz w:val="22"/>
                <w:szCs w:val="22"/>
                <w:lang w:val="en-GB"/>
              </w:rPr>
            </w:pPr>
            <w:r w:rsidRPr="00E0156E">
              <w:rPr>
                <w:sz w:val="22"/>
                <w:szCs w:val="22"/>
                <w:lang w:val="en-GB"/>
              </w:rPr>
              <w:t xml:space="preserve">Shareholder’s </w:t>
            </w:r>
            <w:r w:rsidR="001E7DAE">
              <w:rPr>
                <w:sz w:val="22"/>
                <w:szCs w:val="22"/>
                <w:lang w:val="en-GB"/>
              </w:rPr>
              <w:t>date of birth</w:t>
            </w:r>
            <w:r w:rsidRPr="00E0156E" w:rsidR="006A0A81">
              <w:rPr>
                <w:sz w:val="22"/>
                <w:szCs w:val="22"/>
                <w:lang w:val="en-GB"/>
              </w:rPr>
              <w:t xml:space="preserve"> </w:t>
            </w:r>
            <w:r w:rsidRPr="00E0156E" w:rsidR="00FE4132">
              <w:rPr>
                <w:sz w:val="22"/>
                <w:szCs w:val="22"/>
                <w:lang w:val="en-GB"/>
              </w:rPr>
              <w:t xml:space="preserve">/ </w:t>
            </w:r>
            <w:r w:rsidR="001E7DAE">
              <w:rPr>
                <w:sz w:val="22"/>
                <w:szCs w:val="22"/>
                <w:lang w:val="en-GB"/>
              </w:rPr>
              <w:t>ID no.</w:t>
            </w:r>
          </w:p>
        </w:tc>
      </w:tr>
      <w:tr w:rsidRPr="00E0156E" w:rsidR="00FE4132" w:rsidTr="005861AD" w14:paraId="6B56B393" w14:textId="77777777">
        <w:trPr>
          <w:trHeight w:val="80"/>
        </w:trPr>
        <w:tc>
          <w:tcPr>
            <w:tcW w:w="5000" w:type="pct"/>
            <w:shd w:val="clear" w:color="auto" w:fill="auto"/>
          </w:tcPr>
          <w:p w:rsidRPr="00E0156E" w:rsidR="00FE4132" w:rsidP="002C32B3" w:rsidRDefault="00FE4132" w14:paraId="45B8FF00" w14:textId="77777777">
            <w:pPr>
              <w:pStyle w:val="BodyText"/>
              <w:spacing w:before="120" w:after="120"/>
              <w:jc w:val="both"/>
              <w:rPr>
                <w:sz w:val="22"/>
                <w:szCs w:val="22"/>
                <w:lang w:val="en-GB"/>
              </w:rPr>
            </w:pPr>
          </w:p>
          <w:p w:rsidRPr="00E0156E" w:rsidR="00FE4132" w:rsidP="002C32B3" w:rsidRDefault="00FE4132" w14:paraId="76B18E5E" w14:textId="5FB88AFD">
            <w:pPr>
              <w:pStyle w:val="BodyText"/>
              <w:spacing w:before="120" w:after="120"/>
              <w:jc w:val="both"/>
              <w:rPr>
                <w:sz w:val="22"/>
                <w:szCs w:val="22"/>
                <w:lang w:val="en-GB"/>
              </w:rPr>
            </w:pPr>
            <w:r w:rsidRPr="00E0156E">
              <w:rPr>
                <w:sz w:val="22"/>
                <w:szCs w:val="22"/>
                <w:lang w:val="en-GB"/>
              </w:rPr>
              <w:t>………………………………………………………………………………………………………...</w:t>
            </w:r>
          </w:p>
          <w:p w:rsidRPr="00E0156E" w:rsidR="00FE4132" w:rsidP="002C32B3" w:rsidRDefault="00E0156E" w14:paraId="0B698D19" w14:textId="0D1F5ECE">
            <w:pPr>
              <w:pStyle w:val="BodyText"/>
              <w:spacing w:before="120" w:after="120"/>
              <w:jc w:val="both"/>
              <w:rPr>
                <w:sz w:val="22"/>
                <w:szCs w:val="22"/>
                <w:lang w:val="en-GB"/>
              </w:rPr>
            </w:pPr>
            <w:r w:rsidRPr="00E0156E">
              <w:rPr>
                <w:sz w:val="22"/>
                <w:szCs w:val="22"/>
                <w:lang w:val="en-GB"/>
              </w:rPr>
              <w:t xml:space="preserve">Shareholder’s </w:t>
            </w:r>
            <w:r>
              <w:rPr>
                <w:sz w:val="22"/>
                <w:szCs w:val="22"/>
                <w:lang w:val="en-GB"/>
              </w:rPr>
              <w:t>permanent residence address</w:t>
            </w:r>
            <w:r w:rsidRPr="00E0156E" w:rsidR="006A0A81">
              <w:rPr>
                <w:sz w:val="22"/>
                <w:szCs w:val="22"/>
                <w:lang w:val="en-GB"/>
              </w:rPr>
              <w:t xml:space="preserve"> </w:t>
            </w:r>
            <w:r w:rsidRPr="00E0156E" w:rsidR="00FE4132">
              <w:rPr>
                <w:sz w:val="22"/>
                <w:szCs w:val="22"/>
                <w:lang w:val="en-GB"/>
              </w:rPr>
              <w:t xml:space="preserve">/ </w:t>
            </w:r>
            <w:r>
              <w:rPr>
                <w:sz w:val="22"/>
                <w:szCs w:val="22"/>
                <w:lang w:val="en-GB"/>
              </w:rPr>
              <w:t>registered office</w:t>
            </w:r>
          </w:p>
        </w:tc>
      </w:tr>
      <w:tr w:rsidRPr="00E0156E" w:rsidR="00FE4132" w:rsidTr="005861AD" w14:paraId="7BA91586" w14:textId="77777777">
        <w:tc>
          <w:tcPr>
            <w:tcW w:w="5000" w:type="pct"/>
            <w:shd w:val="clear" w:color="auto" w:fill="auto"/>
          </w:tcPr>
          <w:p w:rsidRPr="00E0156E" w:rsidR="00FE4132" w:rsidP="002C32B3" w:rsidRDefault="00FE4132" w14:paraId="6AF63881" w14:textId="77777777">
            <w:pPr>
              <w:pStyle w:val="BodyText"/>
              <w:tabs>
                <w:tab w:val="right" w:leader="hyphen" w:pos="9072"/>
              </w:tabs>
              <w:spacing w:before="120" w:after="120"/>
              <w:jc w:val="both"/>
              <w:rPr>
                <w:sz w:val="22"/>
                <w:szCs w:val="22"/>
                <w:lang w:val="en-GB"/>
              </w:rPr>
            </w:pPr>
          </w:p>
          <w:p w:rsidRPr="00E0156E" w:rsidR="00FE4132" w:rsidP="002C32B3" w:rsidRDefault="00FE4132" w14:paraId="5B2A94D5" w14:textId="201F4712">
            <w:pPr>
              <w:pStyle w:val="BodyText"/>
              <w:tabs>
                <w:tab w:val="right" w:leader="hyphen" w:pos="9072"/>
              </w:tabs>
              <w:spacing w:before="120" w:after="120"/>
              <w:jc w:val="both"/>
              <w:rPr>
                <w:sz w:val="22"/>
                <w:szCs w:val="22"/>
                <w:lang w:val="en-GB"/>
              </w:rPr>
            </w:pPr>
            <w:r w:rsidRPr="00E0156E">
              <w:rPr>
                <w:sz w:val="22"/>
                <w:szCs w:val="22"/>
                <w:lang w:val="en-GB"/>
              </w:rPr>
              <w:t>………………………………………………………………………………………………………...</w:t>
            </w:r>
          </w:p>
          <w:p w:rsidRPr="00E0156E" w:rsidR="00FE4132" w:rsidP="002C32B3" w:rsidRDefault="001E7DAE" w14:paraId="7833F0C8" w14:textId="438EFB8B">
            <w:pPr>
              <w:pStyle w:val="BodyText"/>
              <w:tabs>
                <w:tab w:val="right" w:leader="hyphen" w:pos="9072"/>
              </w:tabs>
              <w:spacing w:before="120" w:after="120"/>
              <w:jc w:val="both"/>
              <w:rPr>
                <w:sz w:val="22"/>
                <w:szCs w:val="22"/>
                <w:lang w:val="en-GB"/>
              </w:rPr>
            </w:pPr>
            <w:r>
              <w:rPr>
                <w:sz w:val="22"/>
                <w:szCs w:val="22"/>
                <w:lang w:val="en-GB"/>
              </w:rPr>
              <w:t xml:space="preserve">Number of shares with which the shareholder votes and their nominal value </w:t>
            </w:r>
          </w:p>
        </w:tc>
      </w:tr>
      <w:tr w:rsidRPr="00E0156E" w:rsidR="00FE4132" w:rsidTr="005861AD" w14:paraId="475E1263" w14:textId="77777777">
        <w:tc>
          <w:tcPr>
            <w:tcW w:w="5000" w:type="pct"/>
            <w:shd w:val="clear" w:color="auto" w:fill="auto"/>
          </w:tcPr>
          <w:p w:rsidRPr="00E0156E" w:rsidR="00FE4132" w:rsidP="002C32B3" w:rsidRDefault="00FE4132" w14:paraId="11D8DB34" w14:textId="16AAF36F">
            <w:pPr>
              <w:pStyle w:val="BodyText"/>
              <w:tabs>
                <w:tab w:val="right" w:leader="hyphen" w:pos="9072"/>
              </w:tabs>
              <w:spacing w:before="120" w:after="120"/>
              <w:jc w:val="both"/>
              <w:rPr>
                <w:sz w:val="22"/>
                <w:szCs w:val="22"/>
                <w:lang w:val="en-GB"/>
              </w:rPr>
            </w:pPr>
          </w:p>
        </w:tc>
      </w:tr>
      <w:tr w:rsidRPr="00E0156E" w:rsidR="00FE4132" w:rsidTr="005861AD" w14:paraId="4584697F" w14:textId="77777777">
        <w:tc>
          <w:tcPr>
            <w:tcW w:w="5000" w:type="pct"/>
            <w:shd w:val="clear" w:color="auto" w:fill="auto"/>
          </w:tcPr>
          <w:p w:rsidRPr="00E0156E" w:rsidR="00FE4132" w:rsidP="002C32B3" w:rsidRDefault="000101C6" w14:paraId="4E3AEC34" w14:textId="7B306536">
            <w:pPr>
              <w:pStyle w:val="BodyText"/>
              <w:tabs>
                <w:tab w:val="right" w:leader="hyphen" w:pos="9072"/>
              </w:tabs>
              <w:spacing w:before="120" w:after="120"/>
              <w:jc w:val="both"/>
              <w:rPr>
                <w:i/>
                <w:iCs/>
                <w:sz w:val="22"/>
                <w:szCs w:val="22"/>
                <w:lang w:val="en-GB"/>
              </w:rPr>
            </w:pPr>
            <w:r>
              <w:rPr>
                <w:i/>
                <w:iCs/>
                <w:sz w:val="22"/>
                <w:szCs w:val="22"/>
                <w:lang w:val="en-GB"/>
              </w:rPr>
              <w:t>If the shareholder is represented, please</w:t>
            </w:r>
            <w:r w:rsidR="004B6A1C">
              <w:rPr>
                <w:i/>
                <w:iCs/>
                <w:sz w:val="22"/>
                <w:szCs w:val="22"/>
                <w:lang w:val="en-GB"/>
              </w:rPr>
              <w:t>,</w:t>
            </w:r>
            <w:r>
              <w:rPr>
                <w:i/>
                <w:iCs/>
                <w:sz w:val="22"/>
                <w:szCs w:val="22"/>
                <w:lang w:val="en-GB"/>
              </w:rPr>
              <w:t xml:space="preserve"> state also the representative</w:t>
            </w:r>
            <w:r>
              <w:rPr>
                <w:i/>
                <w:iCs/>
                <w:sz w:val="22"/>
                <w:szCs w:val="22"/>
                <w:lang w:val="en-US"/>
              </w:rPr>
              <w:t xml:space="preserve">’s </w:t>
            </w:r>
            <w:r>
              <w:rPr>
                <w:i/>
                <w:iCs/>
                <w:sz w:val="22"/>
                <w:szCs w:val="22"/>
              </w:rPr>
              <w:t>details</w:t>
            </w:r>
            <w:r w:rsidRPr="00E0156E" w:rsidR="00FE4132">
              <w:rPr>
                <w:i/>
                <w:iCs/>
                <w:sz w:val="22"/>
                <w:szCs w:val="22"/>
                <w:lang w:val="en-GB"/>
              </w:rPr>
              <w:t>:</w:t>
            </w:r>
          </w:p>
        </w:tc>
      </w:tr>
      <w:tr w:rsidRPr="00E0156E" w:rsidR="00FE4132" w:rsidTr="005861AD" w14:paraId="2C92CC54" w14:textId="77777777">
        <w:tc>
          <w:tcPr>
            <w:tcW w:w="5000" w:type="pct"/>
            <w:shd w:val="clear" w:color="auto" w:fill="auto"/>
          </w:tcPr>
          <w:p w:rsidRPr="00E0156E" w:rsidR="00FE4132" w:rsidP="002C32B3" w:rsidRDefault="00FE4132" w14:paraId="117547AD" w14:textId="77777777">
            <w:pPr>
              <w:pStyle w:val="BodyText"/>
              <w:tabs>
                <w:tab w:val="right" w:leader="hyphen" w:pos="9072"/>
              </w:tabs>
              <w:spacing w:before="120" w:after="120"/>
              <w:jc w:val="both"/>
              <w:rPr>
                <w:sz w:val="22"/>
                <w:szCs w:val="22"/>
                <w:lang w:val="en-GB"/>
              </w:rPr>
            </w:pPr>
          </w:p>
          <w:p w:rsidRPr="00E0156E" w:rsidR="00FE4132" w:rsidP="002C32B3" w:rsidRDefault="00FE4132" w14:paraId="7FAE83D9" w14:textId="561C299D">
            <w:pPr>
              <w:pStyle w:val="BodyText"/>
              <w:tabs>
                <w:tab w:val="right" w:leader="hyphen" w:pos="9072"/>
              </w:tabs>
              <w:spacing w:before="120" w:after="120"/>
              <w:jc w:val="both"/>
              <w:rPr>
                <w:sz w:val="22"/>
                <w:szCs w:val="22"/>
                <w:lang w:val="en-GB"/>
              </w:rPr>
            </w:pPr>
            <w:r w:rsidRPr="00E0156E">
              <w:rPr>
                <w:sz w:val="22"/>
                <w:szCs w:val="22"/>
                <w:lang w:val="en-GB"/>
              </w:rPr>
              <w:t>………………………………………………………………………………………………………...</w:t>
            </w:r>
          </w:p>
          <w:p w:rsidRPr="00E0156E" w:rsidR="00FE4132" w:rsidP="002C32B3" w:rsidRDefault="001A193C" w14:paraId="55FB810E" w14:textId="35672B71">
            <w:pPr>
              <w:pStyle w:val="BodyText"/>
              <w:tabs>
                <w:tab w:val="right" w:leader="hyphen" w:pos="9072"/>
              </w:tabs>
              <w:spacing w:before="120" w:after="120"/>
              <w:jc w:val="both"/>
              <w:rPr>
                <w:sz w:val="22"/>
                <w:szCs w:val="22"/>
                <w:lang w:val="en-GB"/>
              </w:rPr>
            </w:pPr>
            <w:r>
              <w:rPr>
                <w:sz w:val="22"/>
                <w:szCs w:val="22"/>
                <w:lang w:val="en-GB"/>
              </w:rPr>
              <w:t>N</w:t>
            </w:r>
            <w:r w:rsidRPr="00E0156E" w:rsidR="000101C6">
              <w:rPr>
                <w:sz w:val="22"/>
                <w:szCs w:val="22"/>
                <w:lang w:val="en-GB"/>
              </w:rPr>
              <w:t>ame and surname / busin</w:t>
            </w:r>
            <w:r w:rsidR="000101C6">
              <w:rPr>
                <w:sz w:val="22"/>
                <w:szCs w:val="22"/>
                <w:lang w:val="en-GB"/>
              </w:rPr>
              <w:t>e</w:t>
            </w:r>
            <w:r w:rsidRPr="00E0156E" w:rsidR="000101C6">
              <w:rPr>
                <w:sz w:val="22"/>
                <w:szCs w:val="22"/>
                <w:lang w:val="en-GB"/>
              </w:rPr>
              <w:t>ss name</w:t>
            </w:r>
            <w:r w:rsidRPr="00E0156E">
              <w:rPr>
                <w:sz w:val="22"/>
                <w:szCs w:val="22"/>
                <w:lang w:val="en-GB"/>
              </w:rPr>
              <w:t xml:space="preserve"> </w:t>
            </w:r>
            <w:r>
              <w:rPr>
                <w:sz w:val="22"/>
                <w:szCs w:val="22"/>
                <w:lang w:val="en-GB"/>
              </w:rPr>
              <w:t>of the s</w:t>
            </w:r>
            <w:r w:rsidRPr="00E0156E">
              <w:rPr>
                <w:sz w:val="22"/>
                <w:szCs w:val="22"/>
                <w:lang w:val="en-GB"/>
              </w:rPr>
              <w:t>hareholder’s</w:t>
            </w:r>
            <w:r>
              <w:rPr>
                <w:sz w:val="22"/>
                <w:szCs w:val="22"/>
                <w:lang w:val="en-GB"/>
              </w:rPr>
              <w:t xml:space="preserve"> representative</w:t>
            </w:r>
          </w:p>
        </w:tc>
      </w:tr>
      <w:tr w:rsidRPr="00E0156E" w:rsidR="00FE4132" w:rsidTr="005861AD" w14:paraId="236864B3" w14:textId="77777777">
        <w:tc>
          <w:tcPr>
            <w:tcW w:w="5000" w:type="pct"/>
            <w:shd w:val="clear" w:color="auto" w:fill="auto"/>
          </w:tcPr>
          <w:p w:rsidRPr="00E0156E" w:rsidR="00FE4132" w:rsidP="002C32B3" w:rsidRDefault="00FE4132" w14:paraId="25D5B837" w14:textId="77777777">
            <w:pPr>
              <w:pStyle w:val="BodyText"/>
              <w:tabs>
                <w:tab w:val="right" w:leader="hyphen" w:pos="9072"/>
              </w:tabs>
              <w:spacing w:before="120" w:after="120"/>
              <w:jc w:val="both"/>
              <w:rPr>
                <w:sz w:val="22"/>
                <w:szCs w:val="22"/>
                <w:lang w:val="en-GB"/>
              </w:rPr>
            </w:pPr>
          </w:p>
          <w:p w:rsidRPr="00E0156E" w:rsidR="00FE4132" w:rsidP="002C32B3" w:rsidRDefault="00FE4132" w14:paraId="32DA8AA7" w14:textId="5C0ACFE0">
            <w:pPr>
              <w:pStyle w:val="BodyText"/>
              <w:tabs>
                <w:tab w:val="right" w:leader="hyphen" w:pos="9072"/>
              </w:tabs>
              <w:spacing w:before="120" w:after="120"/>
              <w:jc w:val="both"/>
              <w:rPr>
                <w:sz w:val="22"/>
                <w:szCs w:val="22"/>
                <w:lang w:val="en-GB"/>
              </w:rPr>
            </w:pPr>
            <w:r w:rsidRPr="00E0156E">
              <w:rPr>
                <w:sz w:val="22"/>
                <w:szCs w:val="22"/>
                <w:lang w:val="en-GB"/>
              </w:rPr>
              <w:t>………………………………………………………………………………………………………...</w:t>
            </w:r>
          </w:p>
          <w:p w:rsidRPr="00E0156E" w:rsidR="00FE4132" w:rsidP="002C32B3" w:rsidRDefault="001A193C" w14:paraId="4CCE5A3B" w14:textId="05B862D5">
            <w:pPr>
              <w:pStyle w:val="BodyText"/>
              <w:tabs>
                <w:tab w:val="right" w:leader="hyphen" w:pos="9072"/>
              </w:tabs>
              <w:spacing w:before="120" w:after="120"/>
              <w:jc w:val="both"/>
              <w:rPr>
                <w:sz w:val="22"/>
                <w:szCs w:val="22"/>
                <w:lang w:val="en-GB"/>
              </w:rPr>
            </w:pPr>
            <w:r>
              <w:rPr>
                <w:sz w:val="22"/>
                <w:szCs w:val="22"/>
                <w:lang w:val="en-GB"/>
              </w:rPr>
              <w:t>Date of birth</w:t>
            </w:r>
            <w:r w:rsidRPr="00E0156E">
              <w:rPr>
                <w:sz w:val="22"/>
                <w:szCs w:val="22"/>
                <w:lang w:val="en-GB"/>
              </w:rPr>
              <w:t xml:space="preserve"> / </w:t>
            </w:r>
            <w:r>
              <w:rPr>
                <w:sz w:val="22"/>
                <w:szCs w:val="22"/>
                <w:lang w:val="en-GB"/>
              </w:rPr>
              <w:t>ID no.</w:t>
            </w:r>
            <w:r w:rsidRPr="00E0156E">
              <w:rPr>
                <w:sz w:val="22"/>
                <w:szCs w:val="22"/>
                <w:lang w:val="en-GB"/>
              </w:rPr>
              <w:t xml:space="preserve"> </w:t>
            </w:r>
            <w:r>
              <w:rPr>
                <w:sz w:val="22"/>
                <w:szCs w:val="22"/>
                <w:lang w:val="en-GB"/>
              </w:rPr>
              <w:t>of the s</w:t>
            </w:r>
            <w:r w:rsidRPr="00E0156E">
              <w:rPr>
                <w:sz w:val="22"/>
                <w:szCs w:val="22"/>
                <w:lang w:val="en-GB"/>
              </w:rPr>
              <w:t>hareholder’s</w:t>
            </w:r>
            <w:r>
              <w:rPr>
                <w:sz w:val="22"/>
                <w:szCs w:val="22"/>
                <w:lang w:val="en-GB"/>
              </w:rPr>
              <w:t xml:space="preserve"> representative</w:t>
            </w:r>
          </w:p>
        </w:tc>
      </w:tr>
      <w:tr w:rsidRPr="00E0156E" w:rsidR="00FE4132" w:rsidTr="005861AD" w14:paraId="6ABA0108" w14:textId="77777777">
        <w:tc>
          <w:tcPr>
            <w:tcW w:w="5000" w:type="pct"/>
            <w:shd w:val="clear" w:color="auto" w:fill="auto"/>
          </w:tcPr>
          <w:p w:rsidRPr="00E0156E" w:rsidR="00FE4132" w:rsidP="002C32B3" w:rsidRDefault="00FE4132" w14:paraId="26738269" w14:textId="77777777">
            <w:pPr>
              <w:pStyle w:val="BodyText"/>
              <w:keepLines/>
              <w:tabs>
                <w:tab w:val="right" w:leader="hyphen" w:pos="9072"/>
              </w:tabs>
              <w:spacing w:before="120" w:after="120"/>
              <w:jc w:val="both"/>
              <w:rPr>
                <w:sz w:val="22"/>
                <w:szCs w:val="22"/>
                <w:lang w:val="en-GB"/>
              </w:rPr>
            </w:pPr>
          </w:p>
          <w:p w:rsidRPr="00E0156E" w:rsidR="00FE4132" w:rsidP="002C32B3" w:rsidRDefault="00FE4132" w14:paraId="496D44A4" w14:textId="57A31543">
            <w:pPr>
              <w:pStyle w:val="BodyText"/>
              <w:keepLines/>
              <w:tabs>
                <w:tab w:val="right" w:leader="hyphen" w:pos="9072"/>
              </w:tabs>
              <w:spacing w:before="120" w:after="120"/>
              <w:jc w:val="both"/>
              <w:rPr>
                <w:sz w:val="22"/>
                <w:szCs w:val="22"/>
                <w:lang w:val="en-GB"/>
              </w:rPr>
            </w:pPr>
            <w:r w:rsidRPr="00E0156E">
              <w:rPr>
                <w:sz w:val="22"/>
                <w:szCs w:val="22"/>
                <w:lang w:val="en-GB"/>
              </w:rPr>
              <w:t>………………………………………………………………………………………………………...</w:t>
            </w:r>
          </w:p>
          <w:p w:rsidRPr="00E0156E" w:rsidR="00FE4132" w:rsidP="002C32B3" w:rsidRDefault="004B6A1C" w14:paraId="57D6E91E" w14:textId="4F15961F">
            <w:pPr>
              <w:pStyle w:val="BodyText"/>
              <w:keepLines/>
              <w:tabs>
                <w:tab w:val="right" w:leader="hyphen" w:pos="9072"/>
              </w:tabs>
              <w:spacing w:before="120" w:after="120"/>
              <w:jc w:val="both"/>
              <w:rPr>
                <w:sz w:val="22"/>
                <w:szCs w:val="22"/>
                <w:lang w:val="en-GB"/>
              </w:rPr>
            </w:pPr>
            <w:r>
              <w:rPr>
                <w:sz w:val="22"/>
                <w:szCs w:val="22"/>
                <w:lang w:val="en-GB"/>
              </w:rPr>
              <w:t>Permanent residence address</w:t>
            </w:r>
            <w:r w:rsidRPr="00E0156E">
              <w:rPr>
                <w:sz w:val="22"/>
                <w:szCs w:val="22"/>
                <w:lang w:val="en-GB"/>
              </w:rPr>
              <w:t xml:space="preserve"> / </w:t>
            </w:r>
            <w:r>
              <w:rPr>
                <w:sz w:val="22"/>
                <w:szCs w:val="22"/>
                <w:lang w:val="en-GB"/>
              </w:rPr>
              <w:t>registered office of the s</w:t>
            </w:r>
            <w:r w:rsidRPr="00E0156E">
              <w:rPr>
                <w:sz w:val="22"/>
                <w:szCs w:val="22"/>
                <w:lang w:val="en-GB"/>
              </w:rPr>
              <w:t>hareholder’s</w:t>
            </w:r>
            <w:r>
              <w:rPr>
                <w:sz w:val="22"/>
                <w:szCs w:val="22"/>
                <w:lang w:val="en-GB"/>
              </w:rPr>
              <w:t xml:space="preserve"> representative</w:t>
            </w:r>
          </w:p>
        </w:tc>
      </w:tr>
    </w:tbl>
    <w:p w:rsidRPr="00E0156E" w:rsidR="0070063D" w:rsidRDefault="0070063D" w14:paraId="4C6A4384" w14:textId="77777777">
      <w:pPr>
        <w:rPr>
          <w:lang w:val="en-GB"/>
        </w:rPr>
      </w:pPr>
    </w:p>
    <w:p w:rsidRPr="00E0156E" w:rsidR="0070063D" w:rsidRDefault="0070063D" w14:paraId="4015FB4B" w14:textId="77777777">
      <w:pPr>
        <w:rPr>
          <w:lang w:val="en-GB"/>
        </w:rPr>
      </w:pPr>
    </w:p>
    <w:p w:rsidRPr="00E0156E" w:rsidR="0070063D" w:rsidRDefault="0070063D" w14:paraId="5874F886" w14:textId="77777777">
      <w:pPr>
        <w:rPr>
          <w:lang w:val="en-GB"/>
        </w:rPr>
      </w:pPr>
    </w:p>
    <w:tbl>
      <w:tblPr>
        <w:tblW w:w="5001" w:type="pct"/>
        <w:tblCellMar>
          <w:left w:w="142" w:type="dxa"/>
          <w:right w:w="142" w:type="dxa"/>
        </w:tblCellMar>
        <w:tblLook w:val="04A0" w:firstRow="1" w:lastRow="0" w:firstColumn="1" w:lastColumn="0" w:noHBand="0" w:noVBand="1"/>
      </w:tblPr>
      <w:tblGrid>
        <w:gridCol w:w="5670"/>
        <w:gridCol w:w="1702"/>
        <w:gridCol w:w="1702"/>
      </w:tblGrid>
      <w:tr w:rsidRPr="00E0156E" w:rsidR="0070063D" w:rsidTr="0070063D" w14:paraId="4AC5AD86" w14:textId="77777777">
        <w:tc>
          <w:tcPr>
            <w:tcW w:w="5000" w:type="pct"/>
            <w:gridSpan w:val="3"/>
            <w:shd w:val="clear" w:color="auto" w:fill="auto"/>
          </w:tcPr>
          <w:p w:rsidRPr="00E0156E" w:rsidR="00C062F5" w:rsidP="00C062F5" w:rsidRDefault="00C062F5" w14:paraId="79A4A5B1" w14:textId="77777777">
            <w:pPr>
              <w:pStyle w:val="BodyText"/>
              <w:tabs>
                <w:tab w:val="left" w:pos="567"/>
                <w:tab w:val="right" w:leader="hyphen" w:pos="9356"/>
              </w:tabs>
              <w:spacing w:before="120" w:after="120"/>
              <w:jc w:val="center"/>
              <w:rPr>
                <w:b/>
                <w:sz w:val="22"/>
                <w:szCs w:val="22"/>
                <w:lang w:val="en-GB"/>
              </w:rPr>
            </w:pPr>
            <w:r w:rsidRPr="00E0156E">
              <w:rPr>
                <w:b/>
                <w:sz w:val="22"/>
                <w:szCs w:val="22"/>
                <w:lang w:val="en-GB"/>
              </w:rPr>
              <w:t>SHAREHOLDER’S OPINION ON A DRAFT DECISION OF THE GENERAL MEETING TO BE ADOPTED OUTSIDE THE COMPANY’S GENERAL MEETING (</w:t>
            </w:r>
            <w:r w:rsidRPr="00E0156E">
              <w:rPr>
                <w:b/>
                <w:i/>
                <w:iCs/>
                <w:sz w:val="22"/>
                <w:szCs w:val="22"/>
                <w:lang w:val="en-GB"/>
              </w:rPr>
              <w:t>PER ROLLAM</w:t>
            </w:r>
            <w:r w:rsidRPr="00E0156E">
              <w:rPr>
                <w:b/>
                <w:sz w:val="22"/>
                <w:szCs w:val="22"/>
                <w:lang w:val="en-GB"/>
              </w:rPr>
              <w:t xml:space="preserve">) </w:t>
            </w:r>
          </w:p>
          <w:p w:rsidRPr="00E0156E" w:rsidR="0070063D" w:rsidP="00471333" w:rsidRDefault="0070063D" w14:paraId="30DE280A" w14:textId="77777777">
            <w:pPr>
              <w:pStyle w:val="BodyText"/>
              <w:tabs>
                <w:tab w:val="left" w:pos="567"/>
                <w:tab w:val="right" w:leader="hyphen" w:pos="9356"/>
              </w:tabs>
              <w:spacing w:before="120" w:after="120"/>
              <w:jc w:val="center"/>
              <w:rPr>
                <w:sz w:val="22"/>
                <w:szCs w:val="22"/>
                <w:lang w:val="en-GB"/>
              </w:rPr>
            </w:pPr>
            <w:r w:rsidRPr="00E0156E">
              <w:rPr>
                <w:b/>
                <w:sz w:val="22"/>
                <w:szCs w:val="22"/>
                <w:lang w:val="en-GB"/>
              </w:rPr>
              <w:t>CZG - Česká zbrojovka Group SE</w:t>
            </w:r>
            <w:r w:rsidRPr="00E0156E">
              <w:rPr>
                <w:sz w:val="22"/>
                <w:szCs w:val="22"/>
                <w:lang w:val="en-GB"/>
              </w:rPr>
              <w:t>,</w:t>
            </w:r>
          </w:p>
          <w:p w:rsidR="00C062F5" w:rsidP="00C062F5" w:rsidRDefault="00C062F5" w14:paraId="436EC303" w14:textId="77777777">
            <w:pPr>
              <w:pStyle w:val="BodyText"/>
              <w:tabs>
                <w:tab w:val="left" w:pos="567"/>
                <w:tab w:val="right" w:leader="hyphen" w:pos="9356"/>
              </w:tabs>
              <w:spacing w:before="120" w:after="120"/>
              <w:contextualSpacing/>
              <w:jc w:val="center"/>
              <w:rPr>
                <w:iCs/>
                <w:spacing w:val="-1"/>
                <w:sz w:val="22"/>
                <w:szCs w:val="22"/>
                <w:lang w:val="en-GB"/>
              </w:rPr>
            </w:pPr>
            <w:r w:rsidRPr="00E0156E">
              <w:rPr>
                <w:sz w:val="22"/>
                <w:szCs w:val="22"/>
                <w:lang w:val="en-GB"/>
              </w:rPr>
              <w:t>with its reg</w:t>
            </w:r>
            <w:r>
              <w:rPr>
                <w:sz w:val="22"/>
                <w:szCs w:val="22"/>
                <w:lang w:val="en-GB"/>
              </w:rPr>
              <w:t>i</w:t>
            </w:r>
            <w:r w:rsidRPr="00E0156E">
              <w:rPr>
                <w:sz w:val="22"/>
                <w:szCs w:val="22"/>
                <w:lang w:val="en-GB"/>
              </w:rPr>
              <w:t>stered office at Opletalova 1284/37, Nové Město, 110 00 Pra</w:t>
            </w:r>
            <w:r>
              <w:rPr>
                <w:sz w:val="22"/>
                <w:szCs w:val="22"/>
                <w:lang w:val="en-GB"/>
              </w:rPr>
              <w:t>gue</w:t>
            </w:r>
            <w:r w:rsidRPr="00E0156E">
              <w:rPr>
                <w:sz w:val="22"/>
                <w:szCs w:val="22"/>
                <w:lang w:val="en-GB"/>
              </w:rPr>
              <w:t xml:space="preserve"> 1, ID No.: 291 51 961, </w:t>
            </w:r>
            <w:r>
              <w:rPr>
                <w:sz w:val="22"/>
                <w:szCs w:val="22"/>
                <w:lang w:val="en-GB"/>
              </w:rPr>
              <w:t>re</w:t>
            </w:r>
            <w:r w:rsidRPr="00E0156E">
              <w:rPr>
                <w:sz w:val="22"/>
                <w:szCs w:val="22"/>
                <w:lang w:val="en-GB"/>
              </w:rPr>
              <w:t>gistered in the Commercial Register kept by the Municipal Court in Prague, file no. H 962</w:t>
            </w:r>
            <w:r w:rsidRPr="00E0156E">
              <w:rPr>
                <w:iCs/>
                <w:spacing w:val="-1"/>
                <w:sz w:val="22"/>
                <w:szCs w:val="22"/>
                <w:lang w:val="en-GB"/>
              </w:rPr>
              <w:t xml:space="preserve"> </w:t>
            </w:r>
          </w:p>
          <w:p w:rsidRPr="00E0156E" w:rsidR="0070063D" w:rsidP="00C062F5" w:rsidRDefault="00C062F5" w14:paraId="55B2E345" w14:textId="0B3C21AF">
            <w:pPr>
              <w:pStyle w:val="BodyText"/>
              <w:tabs>
                <w:tab w:val="left" w:pos="567"/>
                <w:tab w:val="right" w:leader="hyphen" w:pos="9356"/>
              </w:tabs>
              <w:spacing w:before="120" w:after="120"/>
              <w:jc w:val="center"/>
              <w:rPr>
                <w:b/>
                <w:sz w:val="22"/>
                <w:szCs w:val="22"/>
                <w:lang w:val="en-GB"/>
              </w:rPr>
            </w:pPr>
            <w:r w:rsidRPr="00E0156E">
              <w:rPr>
                <w:iCs/>
                <w:sz w:val="22"/>
                <w:szCs w:val="22"/>
                <w:lang w:val="en-GB"/>
              </w:rPr>
              <w:t>(</w:t>
            </w:r>
            <w:r>
              <w:rPr>
                <w:iCs/>
                <w:sz w:val="22"/>
                <w:szCs w:val="22"/>
                <w:lang w:val="en-GB"/>
              </w:rPr>
              <w:t>the “</w:t>
            </w:r>
            <w:r w:rsidRPr="001C60A1">
              <w:rPr>
                <w:b/>
                <w:bCs/>
                <w:iCs/>
                <w:sz w:val="22"/>
                <w:szCs w:val="22"/>
                <w:lang w:val="en-GB"/>
              </w:rPr>
              <w:t>Company</w:t>
            </w:r>
            <w:r w:rsidRPr="00E0156E">
              <w:rPr>
                <w:iCs/>
                <w:sz w:val="22"/>
                <w:szCs w:val="22"/>
                <w:lang w:val="en-GB"/>
              </w:rPr>
              <w:t>”)</w:t>
            </w:r>
            <w:r w:rsidRPr="00E0156E">
              <w:rPr>
                <w:sz w:val="22"/>
                <w:szCs w:val="22"/>
                <w:lang w:val="en-GB"/>
              </w:rPr>
              <w:t>,</w:t>
            </w:r>
          </w:p>
        </w:tc>
      </w:tr>
      <w:tr w:rsidRPr="00E0156E" w:rsidR="0070063D" w:rsidTr="0070063D" w14:paraId="14B4AFD5" w14:textId="77777777">
        <w:trPr>
          <w:trHeight w:val="1601"/>
        </w:trPr>
        <w:tc>
          <w:tcPr>
            <w:tcW w:w="5000" w:type="pct"/>
            <w:gridSpan w:val="3"/>
            <w:shd w:val="clear" w:color="auto" w:fill="auto"/>
          </w:tcPr>
          <w:p w:rsidR="0070063D" w:rsidP="00471333" w:rsidRDefault="00F74EC9" w14:paraId="574376BD" w14:textId="77777777">
            <w:pPr>
              <w:pStyle w:val="BodyText"/>
              <w:tabs>
                <w:tab w:val="left" w:pos="567"/>
                <w:tab w:val="right" w:leader="hyphen" w:pos="9356"/>
              </w:tabs>
              <w:spacing w:before="120" w:after="120"/>
              <w:jc w:val="both"/>
              <w:rPr>
                <w:bCs/>
                <w:iCs/>
                <w:sz w:val="22"/>
                <w:szCs w:val="22"/>
                <w:lang w:val="en-GB"/>
              </w:rPr>
            </w:pPr>
            <w:r>
              <w:rPr>
                <w:sz w:val="22"/>
                <w:szCs w:val="22"/>
                <w:lang w:val="en-GB"/>
              </w:rPr>
              <w:t>under</w:t>
            </w:r>
            <w:r w:rsidRPr="00AA467D">
              <w:rPr>
                <w:sz w:val="22"/>
                <w:szCs w:val="22"/>
                <w:lang w:val="en-GB"/>
              </w:rPr>
              <w:t xml:space="preserve"> the provisions of Section 18 et seq. of Act No. 191/2020 Sb., on Certain Measures to Mitigate the Effects of the SARS CoV-2 Coronavirus Epidemic on Persons Involved in Legal Proceedings, Victims of Criminal Offences and Legal Entities, and on Amendments to the Insolvency Act and to the Code of Civil Procedure, as amended, in connection with the provisions of Section 418 et seq. of Act No. 90/2012 Sb., on Companies and Cooperatives (the Corporations Act), as amended</w:t>
            </w:r>
            <w:r w:rsidRPr="00E0156E">
              <w:rPr>
                <w:bCs/>
                <w:iCs/>
                <w:sz w:val="22"/>
                <w:szCs w:val="22"/>
                <w:lang w:val="en-GB"/>
              </w:rPr>
              <w:t>.</w:t>
            </w:r>
          </w:p>
          <w:p w:rsidRPr="00E0156E" w:rsidR="005C513B" w:rsidP="00471333" w:rsidRDefault="005C513B" w14:paraId="1C9ED742" w14:textId="096DE053">
            <w:pPr>
              <w:pStyle w:val="BodyText"/>
              <w:tabs>
                <w:tab w:val="left" w:pos="567"/>
                <w:tab w:val="right" w:leader="hyphen" w:pos="9356"/>
              </w:tabs>
              <w:spacing w:before="120" w:after="120"/>
              <w:jc w:val="both"/>
              <w:rPr>
                <w:bCs/>
                <w:iCs/>
                <w:sz w:val="22"/>
                <w:szCs w:val="22"/>
                <w:lang w:val="en-GB"/>
              </w:rPr>
            </w:pPr>
          </w:p>
        </w:tc>
      </w:tr>
      <w:tr w:rsidRPr="00D37201" w:rsidR="00D37201" w:rsidTr="00C0680C" w14:paraId="363D968B"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5C513B" w:rsidR="00D37201" w:rsidP="00C0680C" w:rsidRDefault="00D37201" w14:paraId="359F2AE6" w14:textId="5F8636F8">
            <w:pPr>
              <w:tabs>
                <w:tab w:val="left" w:pos="4536"/>
              </w:tabs>
              <w:spacing w:before="120" w:after="120"/>
              <w:jc w:val="both"/>
              <w:rPr>
                <w:b/>
                <w:bCs/>
                <w:lang w:val="en-GB"/>
              </w:rPr>
            </w:pPr>
            <w:r>
              <w:rPr>
                <w:b/>
                <w:bCs/>
                <w:lang w:val="en-GB"/>
              </w:rPr>
              <w:t>Draft decision of the General Meeting to grant</w:t>
            </w:r>
            <w:r w:rsidRPr="001F0854">
              <w:rPr>
                <w:b/>
                <w:bCs/>
                <w:lang w:val="en-GB"/>
              </w:rPr>
              <w:t xml:space="preserve"> the</w:t>
            </w:r>
            <w:r>
              <w:rPr>
                <w:b/>
                <w:bCs/>
                <w:lang w:val="en-GB"/>
              </w:rPr>
              <w:t xml:space="preserve"> Company’s Board of Directors </w:t>
            </w:r>
            <w:r w:rsidRPr="001C1DE3">
              <w:rPr>
                <w:b/>
                <w:bCs/>
                <w:lang w:val="en-GB"/>
              </w:rPr>
              <w:t>an instruction regarding business management (request for instruction) (Draft I)</w:t>
            </w:r>
          </w:p>
        </w:tc>
      </w:tr>
      <w:tr w:rsidRPr="00D37201" w:rsidR="00D37201" w:rsidTr="00C0680C" w14:paraId="46865C99"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5C513B" w:rsidR="00D37201" w:rsidP="00C0680C" w:rsidRDefault="00D37201" w14:paraId="73C515EE" w14:textId="6F8FD672">
            <w:pPr>
              <w:pStyle w:val="ListParagraph"/>
              <w:spacing w:before="120" w:after="120" w:line="240" w:lineRule="auto"/>
              <w:ind w:left="0"/>
              <w:contextualSpacing w:val="0"/>
              <w:jc w:val="both"/>
              <w:rPr>
                <w:rFonts w:ascii="Times New Roman" w:hAnsi="Times New Roman"/>
                <w:b/>
                <w:bCs/>
                <w:u w:val="single"/>
                <w:lang w:val="en-GB"/>
              </w:rPr>
            </w:pPr>
            <w:r>
              <w:rPr>
                <w:rFonts w:ascii="Times New Roman" w:hAnsi="Times New Roman"/>
                <w:b/>
                <w:bCs/>
                <w:u w:val="single"/>
                <w:lang w:val="en-GB"/>
              </w:rPr>
              <w:t>Draft decision</w:t>
            </w:r>
            <w:r w:rsidRPr="005C513B">
              <w:rPr>
                <w:rFonts w:ascii="Times New Roman" w:hAnsi="Times New Roman"/>
                <w:b/>
                <w:bCs/>
                <w:u w:val="single"/>
                <w:lang w:val="en-GB"/>
              </w:rPr>
              <w:t>:</w:t>
            </w:r>
          </w:p>
          <w:p w:rsidRPr="005C513B" w:rsidR="00D37201" w:rsidP="007C703C" w:rsidRDefault="007C703C" w14:paraId="6AE73795" w14:textId="71EC1536">
            <w:pPr>
              <w:spacing w:before="120" w:after="120"/>
              <w:jc w:val="both"/>
              <w:rPr>
                <w:lang w:val="en-GB"/>
              </w:rPr>
            </w:pPr>
            <w:r w:rsidRPr="003D41CC">
              <w:rPr>
                <w:b/>
                <w:bCs/>
                <w:i/>
                <w:iCs/>
                <w:lang w:val="en-GB"/>
              </w:rPr>
              <w:t>“T</w:t>
            </w:r>
            <w:r w:rsidRPr="003D41CC">
              <w:rPr>
                <w:b/>
                <w:bCs/>
                <w:i/>
                <w:lang w:val="en-GB"/>
              </w:rPr>
              <w:t>he Company’s General Meeting hereby grants an instruction to the Board of Directors of the Company in accordance with the provisions of Section 51(2) of the Companies Act to ensure</w:t>
            </w:r>
            <w:r>
              <w:rPr>
                <w:b/>
                <w:bCs/>
                <w:i/>
                <w:lang w:val="en-GB"/>
              </w:rPr>
              <w:t xml:space="preserve"> the carrying out of</w:t>
            </w:r>
            <w:r w:rsidRPr="003D41CC">
              <w:rPr>
                <w:b/>
                <w:bCs/>
                <w:i/>
                <w:lang w:val="en-GB"/>
              </w:rPr>
              <w:t xml:space="preserve"> all necessary steps in relation to a transaction involving the acquisition of 100% of </w:t>
            </w:r>
            <w:r w:rsidRPr="00945D29">
              <w:rPr>
                <w:b/>
                <w:bCs/>
                <w:i/>
                <w:lang w:val="en-GB"/>
              </w:rPr>
              <w:t xml:space="preserve">Colt Holding </w:t>
            </w:r>
            <w:r>
              <w:rPr>
                <w:b/>
                <w:bCs/>
                <w:i/>
                <w:lang w:val="en-GB"/>
              </w:rPr>
              <w:t xml:space="preserve">Company </w:t>
            </w:r>
            <w:r w:rsidRPr="00945D29">
              <w:rPr>
                <w:b/>
                <w:bCs/>
                <w:i/>
                <w:lang w:val="en-GB"/>
              </w:rPr>
              <w:t xml:space="preserve">LLC, with its registered office at </w:t>
            </w:r>
            <w:r w:rsidRPr="006B36C2">
              <w:rPr>
                <w:b/>
                <w:bCs/>
                <w:i/>
                <w:lang w:val="en-GB"/>
              </w:rPr>
              <w:t>547 New Park Avenue West Hartford, Connecticut 06110-1336</w:t>
            </w:r>
            <w:r>
              <w:rPr>
                <w:b/>
                <w:bCs/>
                <w:i/>
                <w:lang w:val="en-GB"/>
              </w:rPr>
              <w:t xml:space="preserve">, and its subsidiaries (the </w:t>
            </w:r>
            <w:r w:rsidRPr="003D41CC">
              <w:rPr>
                <w:b/>
                <w:bCs/>
                <w:i/>
                <w:lang w:val="en-GB"/>
              </w:rPr>
              <w:t>“Transaction</w:t>
            </w:r>
            <w:r>
              <w:rPr>
                <w:b/>
                <w:bCs/>
                <w:i/>
                <w:lang w:val="en-GB"/>
              </w:rPr>
              <w:t>”</w:t>
            </w:r>
            <w:r w:rsidRPr="003D41CC">
              <w:rPr>
                <w:b/>
                <w:bCs/>
                <w:i/>
                <w:lang w:val="en-GB"/>
              </w:rPr>
              <w:t>) by the Company</w:t>
            </w:r>
            <w:r>
              <w:rPr>
                <w:b/>
                <w:bCs/>
                <w:i/>
                <w:lang w:val="en-GB"/>
              </w:rPr>
              <w:t xml:space="preserve"> and CZ-US Holdings Inc., a subsidiary of the Company,</w:t>
            </w:r>
            <w:r w:rsidRPr="003D41CC">
              <w:rPr>
                <w:b/>
                <w:bCs/>
                <w:i/>
                <w:lang w:val="en-GB"/>
              </w:rPr>
              <w:t xml:space="preserve"> under which the Company will provide group financing for this Transaction</w:t>
            </w:r>
            <w:r>
              <w:rPr>
                <w:b/>
                <w:bCs/>
                <w:i/>
                <w:lang w:val="en-GB"/>
              </w:rPr>
              <w:t xml:space="preserve"> using its own resources, funds obtained by issuing bonds or other external financing, and by providing consideration in the form of shares in the Company provided as partial consideration as part of the settlement of the Transaction</w:t>
            </w:r>
            <w:r w:rsidRPr="003D41CC">
              <w:rPr>
                <w:b/>
                <w:bCs/>
                <w:i/>
                <w:lang w:val="en-GB"/>
              </w:rPr>
              <w:t>. In connection with the Transaction the Company’s General Meeting instructs the Company’s Board of Directors to in particular negotiate the terms</w:t>
            </w:r>
            <w:r>
              <w:rPr>
                <w:b/>
                <w:bCs/>
                <w:i/>
                <w:lang w:val="en-GB"/>
              </w:rPr>
              <w:t xml:space="preserve"> necessary for the carrying out</w:t>
            </w:r>
            <w:r w:rsidRPr="003D41CC">
              <w:rPr>
                <w:b/>
                <w:bCs/>
                <w:i/>
                <w:lang w:val="en-GB"/>
              </w:rPr>
              <w:t xml:space="preserve"> of the Transaction and to perform any other legal acts and to take other steps in connection with the Transaction</w:t>
            </w:r>
            <w:r>
              <w:rPr>
                <w:b/>
                <w:bCs/>
                <w:i/>
                <w:lang w:val="en-GB"/>
              </w:rPr>
              <w:t>, in particular acts necessary to settle the Transaction (including consideration for the acquisition), including acts aimed at increasing the Company’s registered capital to pay the consideration as part of the Transaction that is to be settled using shares in the Company</w:t>
            </w:r>
            <w:r w:rsidRPr="003D41CC">
              <w:rPr>
                <w:b/>
                <w:bCs/>
                <w:i/>
                <w:lang w:val="en-GB"/>
              </w:rPr>
              <w:t>.”</w:t>
            </w: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5C513B" w:rsidR="00D37201" w:rsidP="00C0680C" w:rsidRDefault="00D37201" w14:paraId="434C2D2A" w14:textId="36E5C565">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IN FAVOUR</w:t>
            </w:r>
          </w:p>
          <w:p w:rsidRPr="005C513B" w:rsidR="00D37201" w:rsidP="00C0680C" w:rsidRDefault="00D37201" w14:paraId="5C6D7C99" w14:textId="77777777">
            <w:pPr>
              <w:pStyle w:val="ListParagraph"/>
              <w:spacing w:before="120" w:after="120" w:line="240" w:lineRule="auto"/>
              <w:ind w:left="0"/>
              <w:contextualSpacing w:val="0"/>
              <w:jc w:val="both"/>
              <w:rPr>
                <w:rFonts w:ascii="Times New Roman" w:hAnsi="Times New Roman"/>
                <w:b/>
                <w:bCs/>
                <w:lang w:val="en-GB"/>
              </w:rPr>
            </w:pPr>
            <w:r w:rsidRPr="004E4A4A">
              <w:rPr>
                <w:rFonts w:ascii="Times New Roman" w:hAnsi="Times New Roman"/>
                <w:b/>
                <w:bCs/>
                <w:noProof/>
                <w:lang w:eastAsia="cs-CZ"/>
              </w:rPr>
              <mc:AlternateContent>
                <mc:Choice Requires="wps">
                  <w:drawing>
                    <wp:anchor distT="0" distB="0" distL="114300" distR="114300" simplePos="0" relativeHeight="251666432" behindDoc="0" locked="0" layoutInCell="1" allowOverlap="1" wp14:editId="0C2EA367" wp14:anchorId="54BDB0A6">
                      <wp:simplePos x="0" y="0"/>
                      <wp:positionH relativeFrom="column">
                        <wp:posOffset>232217</wp:posOffset>
                      </wp:positionH>
                      <wp:positionV relativeFrom="paragraph">
                        <wp:posOffset>6653</wp:posOffset>
                      </wp:positionV>
                      <wp:extent cx="424815" cy="414655"/>
                      <wp:effectExtent l="0" t="0" r="13335" b="23495"/>
                      <wp:wrapNone/>
                      <wp:docPr id="1"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1440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AWC1jZZAIAAAoFAAAOAAAAAAAAAAAAAAAAAC4CAABkcnMvZTJv&#10;RG9jLnhtbFBLAQItABQABgAIAAAAIQC9h6PY2wAAAAcBAAAPAAAAAAAAAAAAAAAAAL4EAABkcnMv&#10;ZG93bnJldi54bWxQSwUGAAAAAAQABADzAAAAxgUAAAAA&#10;"/>
                  </w:pict>
                </mc:Fallback>
              </mc:AlternateContent>
            </w:r>
          </w:p>
          <w:p w:rsidRPr="005C513B" w:rsidR="00D37201" w:rsidP="00C0680C" w:rsidRDefault="00D37201" w14:paraId="6F51D956" w14:textId="77777777">
            <w:pPr>
              <w:pStyle w:val="ListParagraph"/>
              <w:spacing w:before="120" w:after="120" w:line="240" w:lineRule="auto"/>
              <w:ind w:left="0"/>
              <w:contextualSpacing w:val="0"/>
              <w:jc w:val="both"/>
              <w:rPr>
                <w:rFonts w:ascii="Times New Roman" w:hAnsi="Times New Roman"/>
                <w:lang w:val="en-GB"/>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5C513B" w:rsidR="00D37201" w:rsidP="00C0680C" w:rsidRDefault="00D37201" w14:paraId="320BBDB1" w14:textId="3D7930B2">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AGAINST</w:t>
            </w:r>
          </w:p>
          <w:p w:rsidRPr="005C513B" w:rsidR="00D37201" w:rsidP="00C0680C" w:rsidRDefault="00D37201" w14:paraId="0778F61D" w14:textId="77777777">
            <w:pPr>
              <w:pStyle w:val="ListParagraph"/>
              <w:spacing w:before="120" w:after="120" w:line="240" w:lineRule="auto"/>
              <w:ind w:left="0"/>
              <w:contextualSpacing w:val="0"/>
              <w:jc w:val="both"/>
              <w:rPr>
                <w:rFonts w:ascii="Times New Roman" w:hAnsi="Times New Roman"/>
                <w:b/>
                <w:bCs/>
                <w:lang w:val="en-GB"/>
              </w:rPr>
            </w:pPr>
            <w:r w:rsidRPr="004E4A4A">
              <w:rPr>
                <w:rFonts w:ascii="Times New Roman" w:hAnsi="Times New Roman"/>
                <w:b/>
                <w:bCs/>
                <w:noProof/>
                <w:lang w:eastAsia="cs-CZ"/>
              </w:rPr>
              <mc:AlternateContent>
                <mc:Choice Requires="wps">
                  <w:drawing>
                    <wp:anchor distT="0" distB="0" distL="114300" distR="114300" simplePos="0" relativeHeight="251667456" behindDoc="0" locked="0" layoutInCell="1" allowOverlap="1" wp14:editId="3FEF3AC4" wp14:anchorId="743F6AC0">
                      <wp:simplePos x="0" y="0"/>
                      <wp:positionH relativeFrom="column">
                        <wp:posOffset>259881</wp:posOffset>
                      </wp:positionH>
                      <wp:positionV relativeFrom="paragraph">
                        <wp:posOffset>3479</wp:posOffset>
                      </wp:positionV>
                      <wp:extent cx="425303" cy="414655"/>
                      <wp:effectExtent l="0" t="0" r="13335" b="23495"/>
                      <wp:wrapNone/>
                      <wp:docPr id="2"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5F6E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UcZwIAAAs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B8FxRxnAgAACwUAAA4AAAAAAAAAAAAAAAAALgIAAGRycy9l&#10;Mm9Eb2MueG1sUEsBAi0AFAAGAAgAAAAhAECzT1/aAAAABgEAAA8AAAAAAAAAAAAAAAAAwQQAAGRy&#10;cy9kb3ducmV2LnhtbFBLBQYAAAAABAAEAPMAAADIBQAAAAA=&#10;"/>
                  </w:pict>
                </mc:Fallback>
              </mc:AlternateContent>
            </w:r>
          </w:p>
        </w:tc>
      </w:tr>
      <w:tr w:rsidRPr="00D37201" w:rsidR="00D37201" w:rsidTr="00C0680C" w14:paraId="7DA2F5CC"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5C513B" w:rsidR="00D37201" w:rsidP="00C0680C" w:rsidRDefault="00D37201" w14:paraId="2B9B3DEA" w14:textId="5EF83CE4">
            <w:pPr>
              <w:tabs>
                <w:tab w:val="left" w:pos="4536"/>
              </w:tabs>
              <w:spacing w:before="120" w:after="120"/>
              <w:jc w:val="both"/>
              <w:rPr>
                <w:b/>
                <w:lang w:val="en-GB"/>
              </w:rPr>
            </w:pPr>
            <w:r>
              <w:rPr>
                <w:b/>
                <w:bCs/>
                <w:lang w:val="en-GB"/>
              </w:rPr>
              <w:t>Draft d</w:t>
            </w:r>
            <w:r w:rsidRPr="001C1DE3">
              <w:rPr>
                <w:b/>
                <w:bCs/>
                <w:lang w:val="en-GB"/>
              </w:rPr>
              <w:t>ecision on exclusion of the pre-emptive right to subscription for shares (Draft II)</w:t>
            </w:r>
          </w:p>
        </w:tc>
      </w:tr>
      <w:tr w:rsidRPr="00D37201" w:rsidR="00D37201" w:rsidTr="00C0680C" w14:paraId="646A0151"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7C703C" w:rsidR="00D37201" w:rsidP="00C0680C" w:rsidRDefault="007C703C" w14:paraId="6FBC915C" w14:textId="2FAEB305">
            <w:pPr>
              <w:pStyle w:val="ListParagraph"/>
              <w:spacing w:before="120" w:after="120" w:line="240" w:lineRule="auto"/>
              <w:ind w:left="0"/>
              <w:contextualSpacing w:val="0"/>
              <w:jc w:val="both"/>
              <w:rPr>
                <w:rFonts w:ascii="Times New Roman" w:hAnsi="Times New Roman"/>
                <w:b/>
                <w:bCs/>
                <w:lang w:val="en-GB"/>
              </w:rPr>
            </w:pPr>
            <w:r w:rsidRPr="007C703C">
              <w:rPr>
                <w:rFonts w:ascii="Times New Roman" w:hAnsi="Times New Roman"/>
                <w:b/>
                <w:bCs/>
                <w:i/>
                <w:iCs/>
                <w:lang w:val="en-GB"/>
              </w:rPr>
              <w:t>”The General Meeting hereby, pursuant to Section 475(g) of the Companies Act, excludes the pre-emptive right of the existing shareholders to the subscription of up to 2,197,240 shares in the Company. The shares the pre-emptive right to whose subscription was excluded by the decision of the General Meeting may be subscribed by a party or parties determined in advance solely in connection with the settlement of the Transaction.”</w:t>
            </w: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D37201" w:rsidP="00D37201" w:rsidRDefault="00D37201" w14:paraId="494D4C87"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IN FAVOUR</w:t>
            </w:r>
          </w:p>
          <w:p w:rsidRPr="005C513B" w:rsidR="00D37201" w:rsidP="00C0680C" w:rsidRDefault="00D37201" w14:paraId="0F32657A" w14:textId="77777777">
            <w:pPr>
              <w:pStyle w:val="ListParagraph"/>
              <w:spacing w:before="120" w:after="120" w:line="240" w:lineRule="auto"/>
              <w:ind w:left="0"/>
              <w:contextualSpacing w:val="0"/>
              <w:jc w:val="both"/>
              <w:rPr>
                <w:rFonts w:ascii="Times New Roman" w:hAnsi="Times New Roman"/>
                <w:b/>
                <w:bCs/>
                <w:lang w:val="en-GB"/>
              </w:rPr>
            </w:pPr>
            <w:r w:rsidRPr="004E4A4A">
              <w:rPr>
                <w:rFonts w:ascii="Times New Roman" w:hAnsi="Times New Roman"/>
                <w:b/>
                <w:bCs/>
                <w:noProof/>
                <w:lang w:eastAsia="cs-CZ"/>
              </w:rPr>
              <mc:AlternateContent>
                <mc:Choice Requires="wps">
                  <w:drawing>
                    <wp:anchor distT="0" distB="0" distL="114300" distR="114300" simplePos="0" relativeHeight="251668480" behindDoc="0" locked="0" layoutInCell="1" allowOverlap="1" wp14:editId="53794291" wp14:anchorId="57AE4426">
                      <wp:simplePos x="0" y="0"/>
                      <wp:positionH relativeFrom="column">
                        <wp:posOffset>232217</wp:posOffset>
                      </wp:positionH>
                      <wp:positionV relativeFrom="paragraph">
                        <wp:posOffset>6653</wp:posOffset>
                      </wp:positionV>
                      <wp:extent cx="424815" cy="414655"/>
                      <wp:effectExtent l="0" t="0" r="13335" b="23495"/>
                      <wp:wrapNone/>
                      <wp:docPr id="3"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9722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z2D9cWUCAAAKBQAADgAAAAAAAAAAAAAAAAAuAgAAZHJzL2Uy&#10;b0RvYy54bWxQSwECLQAUAAYACAAAACEAvYej2NsAAAAHAQAADwAAAAAAAAAAAAAAAAC/BAAAZHJz&#10;L2Rvd25yZXYueG1sUEsFBgAAAAAEAAQA8wAAAMcFAAAAAA==&#10;"/>
                  </w:pict>
                </mc:Fallback>
              </mc:AlternateContent>
            </w:r>
          </w:p>
          <w:p w:rsidRPr="005C513B" w:rsidR="00D37201" w:rsidP="00C0680C" w:rsidRDefault="00D37201" w14:paraId="1B6BC0A8" w14:textId="77777777">
            <w:pPr>
              <w:pStyle w:val="ListParagraph"/>
              <w:spacing w:before="120" w:after="120" w:line="240" w:lineRule="auto"/>
              <w:ind w:left="0"/>
              <w:contextualSpacing w:val="0"/>
              <w:jc w:val="center"/>
              <w:rPr>
                <w:rFonts w:ascii="Times New Roman" w:hAnsi="Times New Roman"/>
                <w:b/>
                <w:bCs/>
                <w:lang w:val="en-GB"/>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D37201" w:rsidP="00D37201" w:rsidRDefault="00D37201" w14:paraId="770D794F"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AGAINST</w:t>
            </w:r>
          </w:p>
          <w:p w:rsidRPr="005C513B" w:rsidR="00D37201" w:rsidP="00C0680C" w:rsidRDefault="00D37201" w14:paraId="6B097212" w14:textId="77777777">
            <w:pPr>
              <w:pStyle w:val="ListParagraph"/>
              <w:spacing w:before="120" w:after="120" w:line="240" w:lineRule="auto"/>
              <w:ind w:left="0"/>
              <w:contextualSpacing w:val="0"/>
              <w:jc w:val="center"/>
              <w:rPr>
                <w:rFonts w:ascii="Times New Roman" w:hAnsi="Times New Roman"/>
                <w:b/>
                <w:bCs/>
                <w:lang w:val="en-GB"/>
              </w:rPr>
            </w:pPr>
            <w:r w:rsidRPr="004E4A4A">
              <w:rPr>
                <w:rFonts w:ascii="Times New Roman" w:hAnsi="Times New Roman"/>
                <w:b/>
                <w:bCs/>
                <w:noProof/>
                <w:lang w:eastAsia="cs-CZ"/>
              </w:rPr>
              <mc:AlternateContent>
                <mc:Choice Requires="wps">
                  <w:drawing>
                    <wp:anchor distT="0" distB="0" distL="114300" distR="114300" simplePos="0" relativeHeight="251669504" behindDoc="0" locked="0" layoutInCell="1" allowOverlap="1" wp14:editId="65D97829" wp14:anchorId="6DFB8991">
                      <wp:simplePos x="0" y="0"/>
                      <wp:positionH relativeFrom="column">
                        <wp:posOffset>259881</wp:posOffset>
                      </wp:positionH>
                      <wp:positionV relativeFrom="paragraph">
                        <wp:posOffset>3479</wp:posOffset>
                      </wp:positionV>
                      <wp:extent cx="425303" cy="414655"/>
                      <wp:effectExtent l="0" t="0" r="13335" b="23495"/>
                      <wp:wrapNone/>
                      <wp:docPr id="4"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478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HNSXMdnAgAACwUAAA4AAAAAAAAAAAAAAAAALgIAAGRycy9l&#10;Mm9Eb2MueG1sUEsBAi0AFAAGAAgAAAAhAECzT1/aAAAABgEAAA8AAAAAAAAAAAAAAAAAwQQAAGRy&#10;cy9kb3ducmV2LnhtbFBLBQYAAAAABAAEAPMAAADIBQAAAAA=&#10;"/>
                  </w:pict>
                </mc:Fallback>
              </mc:AlternateContent>
            </w:r>
          </w:p>
        </w:tc>
      </w:tr>
      <w:tr w:rsidRPr="00D37201" w:rsidR="00D37201" w:rsidTr="00D37201" w14:paraId="0376DFF2"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5C513B" w:rsidR="00D37201" w:rsidP="00C0680C" w:rsidRDefault="00D37201" w14:paraId="51C1661A" w14:textId="7FCFF6B6">
            <w:pPr>
              <w:tabs>
                <w:tab w:val="left" w:pos="4536"/>
              </w:tabs>
              <w:spacing w:before="120" w:after="120"/>
              <w:jc w:val="both"/>
              <w:rPr>
                <w:b/>
                <w:lang w:val="en-GB"/>
              </w:rPr>
            </w:pPr>
            <w:r w:rsidRPr="001C1DE3">
              <w:rPr>
                <w:b/>
                <w:bCs/>
                <w:lang w:val="en-GB"/>
              </w:rPr>
              <w:t xml:space="preserve">Draft </w:t>
            </w:r>
            <w:r>
              <w:rPr>
                <w:b/>
                <w:bCs/>
                <w:lang w:val="en-GB"/>
              </w:rPr>
              <w:t>d</w:t>
            </w:r>
            <w:r w:rsidRPr="001C1DE3">
              <w:rPr>
                <w:b/>
                <w:bCs/>
                <w:lang w:val="en-GB"/>
              </w:rPr>
              <w:t>ecision on increasing of the Company’s registered capital by share subscription (Draft III)</w:t>
            </w:r>
          </w:p>
        </w:tc>
      </w:tr>
      <w:tr w:rsidRPr="00D37201" w:rsidR="007C703C" w:rsidTr="00C0680C" w14:paraId="184BEB80"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7D3D73" w:rsidR="007C703C" w:rsidP="007C703C" w:rsidRDefault="007C703C" w14:paraId="21B6853F" w14:textId="77777777">
            <w:pPr>
              <w:tabs>
                <w:tab w:val="left" w:pos="4536"/>
              </w:tabs>
              <w:spacing w:before="120" w:after="120"/>
              <w:jc w:val="both"/>
              <w:rPr>
                <w:b/>
                <w:bCs/>
                <w:i/>
                <w:lang w:val="en-GB"/>
              </w:rPr>
            </w:pPr>
            <w:r>
              <w:rPr>
                <w:b/>
                <w:bCs/>
                <w:i/>
                <w:lang w:val="en-GB"/>
              </w:rPr>
              <w:t>“</w:t>
            </w:r>
            <w:r w:rsidRPr="007D3D73">
              <w:rPr>
                <w:b/>
                <w:bCs/>
                <w:i/>
                <w:lang w:val="en-GB"/>
              </w:rPr>
              <w:t>The Company’s General Meeting decides to increase the Company’s registered capital by a monetary contribution by up to CZK 109,862 (one hundred and nine thousand eight hundred and sixty-two Czech crowns) from the current amount of registered capital of CZK 3,263,800 (three million two hundred and sixty-three thousand eight hundred Czech crowns) to the total amount of CZK 3,373,662 (three million three hundred and seventy-three thousand six hundred and sixty-two Czech crowns), after increasing of the Company’s registered capital on the following terms:</w:t>
            </w:r>
          </w:p>
          <w:p w:rsidRPr="007D3D73" w:rsidR="007C703C" w:rsidP="007C703C" w:rsidRDefault="007C703C" w14:paraId="72229428" w14:textId="77777777">
            <w:pPr>
              <w:pStyle w:val="ListParagraph"/>
              <w:numPr>
                <w:ilvl w:val="0"/>
                <w:numId w:val="2"/>
              </w:numPr>
              <w:tabs>
                <w:tab w:val="left" w:pos="4536"/>
              </w:tabs>
              <w:spacing w:before="120" w:after="120"/>
              <w:jc w:val="both"/>
              <w:rPr>
                <w:b/>
                <w:bCs/>
                <w:i/>
                <w:lang w:val="en-GB"/>
              </w:rPr>
            </w:pPr>
            <w:r w:rsidRPr="007D3D73">
              <w:rPr>
                <w:rFonts w:ascii="Times New Roman" w:hAnsi="Times New Roman" w:eastAsia="Times New Roman"/>
                <w:b/>
                <w:bCs/>
                <w:i/>
                <w:lang w:val="en-GB" w:eastAsia="cs-CZ"/>
              </w:rPr>
              <w:t>The increase of the registered capital will be made by subscription for up to 1,098,620 new ordinary registered shares with the nominal value of CZK 0.1 (ten hellers) each that will all be issued in book-entry form. The shares cannot be subscribed for in more rounds. With the newly subscribed shares will be associated the same rights as with the existing shares and no special rights. The Company’s existing shares, their type, form, nature and number remain unchanged;</w:t>
            </w:r>
          </w:p>
          <w:p w:rsidRPr="007D3D73" w:rsidR="007C703C" w:rsidP="007C703C" w:rsidRDefault="007C703C" w14:paraId="339AAD4E" w14:textId="77777777">
            <w:pPr>
              <w:pStyle w:val="ListParagraph"/>
              <w:numPr>
                <w:ilvl w:val="0"/>
                <w:numId w:val="2"/>
              </w:numPr>
              <w:tabs>
                <w:tab w:val="left" w:pos="4536"/>
              </w:tabs>
              <w:spacing w:before="120" w:after="120"/>
              <w:jc w:val="both"/>
              <w:rPr>
                <w:b/>
                <w:bCs/>
                <w:i/>
                <w:lang w:val="en-GB"/>
              </w:rPr>
            </w:pPr>
            <w:r w:rsidRPr="007D3D73">
              <w:rPr>
                <w:rFonts w:ascii="Times New Roman" w:hAnsi="Times New Roman" w:eastAsia="Times New Roman"/>
                <w:b/>
                <w:bCs/>
                <w:i/>
                <w:lang w:val="en-GB" w:eastAsia="cs-CZ"/>
              </w:rPr>
              <w:t>The registered capital will be increased by subscription for new shares whose issue price will be paid up solely by a monetary contribution, with the offer of subscription of shares to a party determined in advance; neither the new shares nor any of them will be subscribed for in a public offering;</w:t>
            </w:r>
          </w:p>
          <w:p w:rsidRPr="007D3D73" w:rsidR="007C703C" w:rsidP="007C703C" w:rsidRDefault="007C703C" w14:paraId="4FF75D08" w14:textId="77777777">
            <w:pPr>
              <w:pStyle w:val="ListParagraph"/>
              <w:numPr>
                <w:ilvl w:val="0"/>
                <w:numId w:val="2"/>
              </w:numPr>
              <w:tabs>
                <w:tab w:val="left" w:pos="4536"/>
              </w:tabs>
              <w:spacing w:before="120" w:after="120"/>
              <w:jc w:val="both"/>
              <w:rPr>
                <w:b/>
                <w:bCs/>
                <w:i/>
                <w:lang w:val="en-GB"/>
              </w:rPr>
            </w:pPr>
            <w:r w:rsidRPr="007D3D73">
              <w:rPr>
                <w:rFonts w:ascii="Times New Roman" w:hAnsi="Times New Roman" w:eastAsia="Times New Roman"/>
                <w:b/>
                <w:bCs/>
                <w:i/>
                <w:lang w:val="en-GB" w:eastAsia="cs-CZ"/>
              </w:rPr>
              <w:t>The shares will not be subscribed for by using a pre-emptive subscription right as the Company’s General Meeting, by its decision, has excluded the pre-emptive right of the Company’s existing shareholders;</w:t>
            </w:r>
          </w:p>
          <w:p w:rsidRPr="007D3D73" w:rsidR="007C703C" w:rsidP="007C703C" w:rsidRDefault="007C703C" w14:paraId="5FB8D19F" w14:textId="77777777">
            <w:pPr>
              <w:pStyle w:val="ListParagraph"/>
              <w:numPr>
                <w:ilvl w:val="0"/>
                <w:numId w:val="2"/>
              </w:numPr>
              <w:tabs>
                <w:tab w:val="left" w:pos="4536"/>
              </w:tabs>
              <w:spacing w:before="120" w:after="120"/>
              <w:jc w:val="both"/>
              <w:rPr>
                <w:b/>
                <w:bCs/>
                <w:i/>
                <w:lang w:val="en-GB"/>
              </w:rPr>
            </w:pPr>
            <w:r w:rsidRPr="007D3D73">
              <w:rPr>
                <w:rFonts w:ascii="Times New Roman" w:hAnsi="Times New Roman" w:eastAsia="Times New Roman"/>
                <w:b/>
                <w:bCs/>
                <w:i/>
                <w:lang w:val="en-GB" w:eastAsia="cs-CZ"/>
              </w:rPr>
              <w:t>All the shares will be offered to a party or parties determined in advance, solely to the shareholders of the Colt Group (the “Colt Shareholders”) based on the Acquisition Agreement, or to their representative (the “Stockholder Representative”) based on the Acquisition Agreement, or the Company’s subsidiary acting on the account of the Colt Shareholders or their representative for the purposes of settlement of the Transaction or meeting of obligations from the Acquisition Agreement;</w:t>
            </w:r>
          </w:p>
          <w:p w:rsidRPr="007D3D73" w:rsidR="007C703C" w:rsidP="007C703C" w:rsidRDefault="007C703C" w14:paraId="504EB92C" w14:textId="77777777">
            <w:pPr>
              <w:pStyle w:val="ListParagraph"/>
              <w:numPr>
                <w:ilvl w:val="0"/>
                <w:numId w:val="2"/>
              </w:numPr>
              <w:tabs>
                <w:tab w:val="left" w:pos="4536"/>
              </w:tabs>
              <w:spacing w:before="120" w:after="120"/>
              <w:jc w:val="both"/>
              <w:rPr>
                <w:rFonts w:ascii="Times New Roman" w:hAnsi="Times New Roman" w:eastAsia="Times New Roman"/>
                <w:b/>
                <w:bCs/>
                <w:i/>
                <w:lang w:val="en-GB" w:eastAsia="cs-CZ"/>
              </w:rPr>
            </w:pPr>
            <w:r w:rsidRPr="007D3D73">
              <w:rPr>
                <w:rFonts w:ascii="Times New Roman" w:hAnsi="Times New Roman" w:eastAsia="Times New Roman"/>
                <w:b/>
                <w:bCs/>
                <w:i/>
                <w:lang w:val="en-GB" w:eastAsia="cs-CZ"/>
              </w:rPr>
              <w:t>The Company’s Board of Directors is authorised to determine the issue price of the new shares, provided that the lowest issue price must not be lower than CZK 290 (in words: two hundred and ninety Czech crowns) per registered ordinary shares with the nominal value of CZK 0.10 (ten hellers) issued in book-entry form. In deciding on the amount of the issue price, the Company’s Board of Directors should proceed in particular based on the price of the Company’s shares during their trading on the Prime Market of Burza cenných papírů Praha, a.s., identification number 47115629, with its registered office at Prague 1, Rybná 14/682, postal code 110 00.</w:t>
            </w:r>
          </w:p>
          <w:p w:rsidRPr="007D3D73" w:rsidR="007C703C" w:rsidP="007C703C" w:rsidRDefault="007C703C" w14:paraId="7722A2D9" w14:textId="77777777">
            <w:pPr>
              <w:pStyle w:val="ListParagraph"/>
              <w:numPr>
                <w:ilvl w:val="0"/>
                <w:numId w:val="2"/>
              </w:numPr>
              <w:tabs>
                <w:tab w:val="left" w:pos="4536"/>
              </w:tabs>
              <w:spacing w:before="120" w:after="120"/>
              <w:jc w:val="both"/>
              <w:rPr>
                <w:rFonts w:ascii="Times New Roman" w:hAnsi="Times New Roman" w:eastAsia="Times New Roman"/>
                <w:b/>
                <w:bCs/>
                <w:i/>
                <w:lang w:val="en-GB" w:eastAsia="cs-CZ"/>
              </w:rPr>
            </w:pPr>
            <w:r w:rsidRPr="007D3D73">
              <w:rPr>
                <w:rFonts w:ascii="Times New Roman" w:hAnsi="Times New Roman" w:eastAsia="Times New Roman"/>
                <w:b/>
                <w:bCs/>
                <w:i/>
                <w:lang w:val="en-GB" w:eastAsia="cs-CZ"/>
              </w:rPr>
              <w:t>The subscription for the shares may commence without delay after adoption of this decision (commencement of the subscription period);</w:t>
            </w:r>
          </w:p>
          <w:p w:rsidRPr="007D3D73" w:rsidR="007C703C" w:rsidP="007C703C" w:rsidRDefault="007C703C" w14:paraId="06CE652F" w14:textId="77777777">
            <w:pPr>
              <w:pStyle w:val="ListParagraph"/>
              <w:numPr>
                <w:ilvl w:val="0"/>
                <w:numId w:val="2"/>
              </w:numPr>
              <w:tabs>
                <w:tab w:val="left" w:pos="4536"/>
              </w:tabs>
              <w:spacing w:before="120" w:after="120"/>
              <w:jc w:val="both"/>
              <w:rPr>
                <w:rFonts w:ascii="Times New Roman" w:hAnsi="Times New Roman" w:eastAsia="Times New Roman"/>
                <w:b/>
                <w:bCs/>
                <w:i/>
                <w:lang w:val="en-GB" w:eastAsia="cs-CZ"/>
              </w:rPr>
            </w:pPr>
            <w:r w:rsidRPr="007D3D73">
              <w:rPr>
                <w:rFonts w:ascii="Times New Roman" w:hAnsi="Times New Roman" w:eastAsia="Times New Roman"/>
                <w:b/>
                <w:bCs/>
                <w:i/>
                <w:lang w:val="en-GB" w:eastAsia="cs-CZ"/>
              </w:rPr>
              <w:t>The period for subscription of the shares is 1 (one) year. The commencement of the subscription of the shares is notified to the party determined in advance by the Board of Directors by delivery of a draft agreement on subscription of the shares;</w:t>
            </w:r>
          </w:p>
          <w:p w:rsidRPr="007D3D73" w:rsidR="007C703C" w:rsidP="007C703C" w:rsidRDefault="007C703C" w14:paraId="370C636A" w14:textId="77777777">
            <w:pPr>
              <w:pStyle w:val="ListParagraph"/>
              <w:numPr>
                <w:ilvl w:val="0"/>
                <w:numId w:val="2"/>
              </w:numPr>
              <w:tabs>
                <w:tab w:val="left" w:pos="4536"/>
              </w:tabs>
              <w:spacing w:before="120" w:after="120"/>
              <w:jc w:val="both"/>
              <w:rPr>
                <w:rFonts w:ascii="Times New Roman" w:hAnsi="Times New Roman" w:eastAsia="Times New Roman"/>
                <w:b/>
                <w:bCs/>
                <w:i/>
                <w:lang w:val="en-GB" w:eastAsia="cs-CZ"/>
              </w:rPr>
            </w:pPr>
            <w:r w:rsidRPr="007D3D73">
              <w:rPr>
                <w:rFonts w:ascii="Times New Roman" w:hAnsi="Times New Roman" w:eastAsia="Times New Roman"/>
                <w:b/>
                <w:bCs/>
                <w:i/>
                <w:lang w:val="en-GB" w:eastAsia="cs-CZ"/>
              </w:rPr>
              <w:t>The place for the subscription of the shares is the Company’s registered office at Opletalova 1284/37, Nové Město, 110 00 Prague 1, on business days during the subscription period from 8:00 to 17:00 hours, unless otherwise agreed by the Company and the party determined in advance;</w:t>
            </w:r>
          </w:p>
          <w:p w:rsidRPr="007D3D73" w:rsidR="007C703C" w:rsidP="007C703C" w:rsidRDefault="007C703C" w14:paraId="714E9AD8" w14:textId="77777777">
            <w:pPr>
              <w:pStyle w:val="ListParagraph"/>
              <w:numPr>
                <w:ilvl w:val="0"/>
                <w:numId w:val="2"/>
              </w:numPr>
              <w:tabs>
                <w:tab w:val="left" w:pos="4536"/>
              </w:tabs>
              <w:spacing w:before="120" w:after="120"/>
              <w:jc w:val="both"/>
              <w:rPr>
                <w:rFonts w:ascii="Times New Roman" w:hAnsi="Times New Roman" w:eastAsia="Times New Roman"/>
                <w:b/>
                <w:bCs/>
                <w:i/>
                <w:lang w:val="en-GB" w:eastAsia="cs-CZ"/>
              </w:rPr>
            </w:pPr>
            <w:r w:rsidRPr="007D3D73">
              <w:rPr>
                <w:rFonts w:ascii="Times New Roman" w:hAnsi="Times New Roman" w:eastAsia="Times New Roman"/>
                <w:b/>
                <w:bCs/>
                <w:i/>
                <w:lang w:val="en-GB" w:eastAsia="cs-CZ"/>
              </w:rPr>
              <w:t>The shares will be described for in the manner stipulated in Section 479 of the Companies Act, i.e. by an agreement on the subscription of shares, which must be in writing, the signatures of the parties must be officially verified, and the agreement must contain at least the elements stipulated in Section 479 of the Companies Act. For the subscription of the shares is provided the period of 1 (one) month from delivery of the draft agreement on subscription of shares;</w:t>
            </w:r>
          </w:p>
          <w:p w:rsidRPr="007D3D73" w:rsidR="007C703C" w:rsidP="007C703C" w:rsidRDefault="007C703C" w14:paraId="6F97394A" w14:textId="77777777">
            <w:pPr>
              <w:pStyle w:val="ListParagraph"/>
              <w:numPr>
                <w:ilvl w:val="0"/>
                <w:numId w:val="2"/>
              </w:numPr>
              <w:tabs>
                <w:tab w:val="left" w:pos="4536"/>
              </w:tabs>
              <w:spacing w:before="120" w:after="120"/>
              <w:jc w:val="both"/>
              <w:rPr>
                <w:b/>
                <w:i/>
                <w:lang w:val="en-GB"/>
              </w:rPr>
            </w:pPr>
            <w:r w:rsidRPr="007D3D73">
              <w:rPr>
                <w:rFonts w:ascii="Times New Roman" w:hAnsi="Times New Roman" w:eastAsia="Times New Roman"/>
                <w:b/>
                <w:bCs/>
                <w:i/>
                <w:lang w:val="en-GB" w:eastAsia="cs-CZ"/>
              </w:rPr>
              <w:t>The issue price of the subscribed shares must be paid up within 1 (one) year from the date of subscription of the shares, i.e. from the date of the agreement on the subscription of shares. At the moment of registration of the change of the amount of the registered capital of CZG - Česká zbrojovka Group SE in the Commercial Register, the issue price of the subscribed shares must be fully paid up to account no. 500087552/0800, IBAN CZ CZ73 0800 0000 0005 0008 7552 kept with Česká spořitelna, a.s.</w:t>
            </w:r>
            <w:r>
              <w:rPr>
                <w:rFonts w:ascii="Times New Roman" w:hAnsi="Times New Roman" w:eastAsia="Times New Roman"/>
                <w:b/>
                <w:bCs/>
                <w:i/>
                <w:lang w:val="en-GB" w:eastAsia="cs-CZ"/>
              </w:rPr>
              <w:t>”</w:t>
            </w:r>
          </w:p>
          <w:p w:rsidRPr="005C513B" w:rsidR="007C703C" w:rsidP="007C703C" w:rsidRDefault="007C703C" w14:paraId="0279FAFE" w14:textId="17F71A29">
            <w:pPr>
              <w:pStyle w:val="ListParagraph"/>
              <w:spacing w:before="120" w:after="120" w:line="240" w:lineRule="auto"/>
              <w:ind w:left="0"/>
              <w:contextualSpacing w:val="0"/>
              <w:jc w:val="both"/>
              <w:rPr>
                <w:rFonts w:ascii="Times New Roman" w:hAnsi="Times New Roman"/>
                <w:b/>
                <w:bCs/>
                <w:u w:val="single"/>
                <w:lang w:val="en-GB"/>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7C703C" w:rsidP="007C703C" w:rsidRDefault="007C703C" w14:paraId="31EF002A"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IN FAVOUR</w:t>
            </w:r>
          </w:p>
          <w:p w:rsidRPr="005C513B" w:rsidR="007C703C" w:rsidP="007C703C" w:rsidRDefault="007C703C" w14:paraId="0C454885" w14:textId="77777777">
            <w:pPr>
              <w:pStyle w:val="ListParagraph"/>
              <w:spacing w:before="120" w:after="120" w:line="240" w:lineRule="auto"/>
              <w:ind w:left="0"/>
              <w:contextualSpacing w:val="0"/>
              <w:jc w:val="both"/>
              <w:rPr>
                <w:rFonts w:ascii="Times New Roman" w:hAnsi="Times New Roman"/>
                <w:b/>
                <w:bCs/>
                <w:lang w:val="en-GB"/>
              </w:rPr>
            </w:pPr>
            <w:r w:rsidRPr="00F05A6D">
              <w:rPr>
                <w:rFonts w:ascii="Times New Roman" w:hAnsi="Times New Roman"/>
                <w:b/>
                <w:bCs/>
                <w:noProof/>
                <w:lang w:eastAsia="cs-CZ"/>
              </w:rPr>
              <mc:AlternateContent>
                <mc:Choice Requires="wps">
                  <w:drawing>
                    <wp:anchor distT="0" distB="0" distL="114300" distR="114300" simplePos="0" relativeHeight="251675648" behindDoc="0" locked="0" layoutInCell="1" allowOverlap="1" wp14:editId="508D76CC" wp14:anchorId="62E399BB">
                      <wp:simplePos x="0" y="0"/>
                      <wp:positionH relativeFrom="column">
                        <wp:posOffset>232217</wp:posOffset>
                      </wp:positionH>
                      <wp:positionV relativeFrom="paragraph">
                        <wp:posOffset>6653</wp:posOffset>
                      </wp:positionV>
                      <wp:extent cx="424815" cy="414655"/>
                      <wp:effectExtent l="0" t="0" r="13335" b="23495"/>
                      <wp:wrapNone/>
                      <wp:docPr id="5"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81EB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Dl2mNTZAIAAAoFAAAOAAAAAAAAAAAAAAAAAC4CAABkcnMvZTJv&#10;RG9jLnhtbFBLAQItABQABgAIAAAAIQC9h6PY2wAAAAcBAAAPAAAAAAAAAAAAAAAAAL4EAABkcnMv&#10;ZG93bnJldi54bWxQSwUGAAAAAAQABADzAAAAxgUAAAAA&#10;"/>
                  </w:pict>
                </mc:Fallback>
              </mc:AlternateContent>
            </w:r>
          </w:p>
          <w:p w:rsidRPr="005C513B" w:rsidR="007C703C" w:rsidP="007C703C" w:rsidRDefault="007C703C" w14:paraId="58FBD82D" w14:textId="77777777">
            <w:pPr>
              <w:pStyle w:val="ListParagraph"/>
              <w:spacing w:before="120" w:after="120" w:line="240" w:lineRule="auto"/>
              <w:ind w:left="0"/>
              <w:contextualSpacing w:val="0"/>
              <w:jc w:val="center"/>
              <w:rPr>
                <w:rFonts w:ascii="Times New Roman" w:hAnsi="Times New Roman"/>
                <w:b/>
                <w:bCs/>
                <w:lang w:val="en-GB"/>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7C703C" w:rsidP="007C703C" w:rsidRDefault="007C703C" w14:paraId="541EE30B"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AGAINST</w:t>
            </w:r>
          </w:p>
          <w:p w:rsidRPr="005C513B" w:rsidR="007C703C" w:rsidP="007C703C" w:rsidRDefault="007C703C" w14:paraId="51C54744" w14:textId="77777777">
            <w:pPr>
              <w:pStyle w:val="ListParagraph"/>
              <w:spacing w:before="120" w:after="120" w:line="240" w:lineRule="auto"/>
              <w:ind w:left="0"/>
              <w:contextualSpacing w:val="0"/>
              <w:jc w:val="center"/>
              <w:rPr>
                <w:rFonts w:ascii="Times New Roman" w:hAnsi="Times New Roman"/>
                <w:b/>
                <w:bCs/>
                <w:lang w:val="en-GB"/>
              </w:rPr>
            </w:pPr>
            <w:r w:rsidRPr="00F05A6D">
              <w:rPr>
                <w:rFonts w:ascii="Times New Roman" w:hAnsi="Times New Roman"/>
                <w:b/>
                <w:bCs/>
                <w:noProof/>
                <w:lang w:eastAsia="cs-CZ"/>
              </w:rPr>
              <mc:AlternateContent>
                <mc:Choice Requires="wps">
                  <w:drawing>
                    <wp:anchor distT="0" distB="0" distL="114300" distR="114300" simplePos="0" relativeHeight="251676672" behindDoc="0" locked="0" layoutInCell="1" allowOverlap="1" wp14:editId="23429562" wp14:anchorId="5E133E1C">
                      <wp:simplePos x="0" y="0"/>
                      <wp:positionH relativeFrom="column">
                        <wp:posOffset>259881</wp:posOffset>
                      </wp:positionH>
                      <wp:positionV relativeFrom="paragraph">
                        <wp:posOffset>3479</wp:posOffset>
                      </wp:positionV>
                      <wp:extent cx="425303" cy="414655"/>
                      <wp:effectExtent l="0" t="0" r="13335" b="23495"/>
                      <wp:wrapNone/>
                      <wp:docPr id="6"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7982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s4ZwIAAAs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Gid+zhnAgAACwUAAA4AAAAAAAAAAAAAAAAALgIAAGRycy9l&#10;Mm9Eb2MueG1sUEsBAi0AFAAGAAgAAAAhAECzT1/aAAAABgEAAA8AAAAAAAAAAAAAAAAAwQQAAGRy&#10;cy9kb3ducmV2LnhtbFBLBQYAAAAABAAEAPMAAADIBQAAAAA=&#10;"/>
                  </w:pict>
                </mc:Fallback>
              </mc:AlternateContent>
            </w:r>
          </w:p>
        </w:tc>
      </w:tr>
      <w:tr w:rsidRPr="00D37201" w:rsidR="007C703C" w:rsidTr="00C0680C" w14:paraId="265307FA"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5C513B" w:rsidR="007C703C" w:rsidP="007C703C" w:rsidRDefault="007C703C" w14:paraId="33964147" w14:textId="1E4E7CA5">
            <w:pPr>
              <w:tabs>
                <w:tab w:val="left" w:pos="4536"/>
              </w:tabs>
              <w:spacing w:before="120" w:after="120"/>
              <w:jc w:val="both"/>
              <w:rPr>
                <w:b/>
                <w:lang w:val="en-GB"/>
              </w:rPr>
            </w:pPr>
            <w:r w:rsidRPr="001C1DE3">
              <w:rPr>
                <w:b/>
                <w:bCs/>
                <w:lang w:val="en-GB"/>
              </w:rPr>
              <w:t xml:space="preserve">Draft </w:t>
            </w:r>
            <w:r>
              <w:rPr>
                <w:b/>
                <w:bCs/>
                <w:lang w:val="en-GB"/>
              </w:rPr>
              <w:t>a</w:t>
            </w:r>
            <w:r w:rsidRPr="001C1DE3">
              <w:rPr>
                <w:b/>
                <w:bCs/>
                <w:lang w:val="en-GB"/>
              </w:rPr>
              <w:t>mendment to the Company’s Articles of Association (Draft IV)</w:t>
            </w:r>
          </w:p>
        </w:tc>
      </w:tr>
      <w:tr w:rsidRPr="00D37201" w:rsidR="007C703C" w:rsidTr="00C0680C" w14:paraId="64BA28D7"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AF4EDB" w:rsidR="007C703C" w:rsidP="007C703C" w:rsidRDefault="007C703C" w14:paraId="32FD5D33" w14:textId="77777777">
            <w:pPr>
              <w:spacing w:before="120" w:after="120"/>
              <w:ind w:left="360"/>
              <w:jc w:val="both"/>
              <w:rPr>
                <w:b/>
                <w:i/>
                <w:lang w:val="en-GB"/>
              </w:rPr>
            </w:pPr>
            <w:r w:rsidRPr="00AF4EDB">
              <w:rPr>
                <w:b/>
                <w:lang w:val="en-GB"/>
              </w:rPr>
              <w:t>The Company’s General Meeting hereby, pursuant to Article 7.3(a) of the Company’s Articles of Association, decides to amend the Company’s Articles of Association as follows:</w:t>
            </w:r>
          </w:p>
          <w:p w:rsidRPr="00FC2147" w:rsidR="007C703C" w:rsidP="007C703C" w:rsidRDefault="007C703C" w14:paraId="3CED4378" w14:textId="77777777">
            <w:pPr>
              <w:spacing w:before="120" w:after="120"/>
              <w:ind w:left="360"/>
              <w:rPr>
                <w:b/>
                <w:i/>
                <w:lang w:val="en-GB"/>
              </w:rPr>
            </w:pPr>
            <w:r w:rsidRPr="00FC2147">
              <w:rPr>
                <w:b/>
                <w:i/>
                <w:lang w:val="en-GB"/>
              </w:rPr>
              <w:t>Article 11.1 of the Company’s Articles of Association is amended to read as follows:</w:t>
            </w:r>
          </w:p>
          <w:p w:rsidRPr="00FC2147" w:rsidR="007C703C" w:rsidP="007C703C" w:rsidRDefault="007C703C" w14:paraId="7542398B" w14:textId="77777777">
            <w:pPr>
              <w:spacing w:before="120" w:after="120"/>
              <w:ind w:left="360"/>
              <w:rPr>
                <w:b/>
                <w:i/>
                <w:lang w:val="en-GB"/>
              </w:rPr>
            </w:pPr>
          </w:p>
          <w:p w:rsidRPr="00FC2147" w:rsidR="007C703C" w:rsidP="007C703C" w:rsidRDefault="007C703C" w14:paraId="08A6795E" w14:textId="77777777">
            <w:pPr>
              <w:spacing w:line="360" w:lineRule="auto"/>
              <w:ind w:left="360"/>
              <w:jc w:val="both"/>
              <w:rPr>
                <w:i/>
                <w:lang w:val="en-GB"/>
              </w:rPr>
            </w:pPr>
            <w:r>
              <w:rPr>
                <w:i/>
                <w:lang w:val="en-GB"/>
              </w:rPr>
              <w:t>“</w:t>
            </w:r>
            <w:r w:rsidRPr="00FC2147">
              <w:rPr>
                <w:i/>
                <w:lang w:val="en-GB"/>
              </w:rPr>
              <w:t>Decisions outside the meeting of the General Meeting (per rollam) are permitted; the person authorised to convene a General Meeting will notify, in the manner in which the General Meeting is convened pursuant to these Articles of Association, a draft decision to all shareholders containing:</w:t>
            </w:r>
          </w:p>
          <w:p w:rsidRPr="00FC2147" w:rsidR="007C703C" w:rsidP="007C703C" w:rsidRDefault="007C703C" w14:paraId="758AC5F7" w14:textId="77777777">
            <w:pPr>
              <w:pStyle w:val="ListParagraph"/>
              <w:numPr>
                <w:ilvl w:val="2"/>
                <w:numId w:val="3"/>
              </w:numPr>
              <w:spacing w:after="0" w:line="360" w:lineRule="auto"/>
              <w:ind w:left="1418" w:hanging="681"/>
              <w:contextualSpacing w:val="0"/>
              <w:jc w:val="both"/>
              <w:rPr>
                <w:rFonts w:ascii="Times New Roman" w:hAnsi="Times New Roman"/>
                <w:i/>
                <w:lang w:val="en-GB"/>
              </w:rPr>
            </w:pPr>
            <w:r w:rsidRPr="00FC2147">
              <w:rPr>
                <w:rFonts w:ascii="Times New Roman" w:hAnsi="Times New Roman"/>
                <w:i/>
                <w:lang w:val="en-GB"/>
              </w:rPr>
              <w:t>wording of the draft decision and its reasoning;</w:t>
            </w:r>
          </w:p>
          <w:p w:rsidRPr="00FC2147" w:rsidR="007C703C" w:rsidP="007C703C" w:rsidRDefault="007C703C" w14:paraId="67D9851F" w14:textId="77777777">
            <w:pPr>
              <w:pStyle w:val="ListParagraph"/>
              <w:numPr>
                <w:ilvl w:val="2"/>
                <w:numId w:val="3"/>
              </w:numPr>
              <w:spacing w:after="0" w:line="360" w:lineRule="auto"/>
              <w:ind w:left="1418" w:hanging="681"/>
              <w:contextualSpacing w:val="0"/>
              <w:jc w:val="both"/>
              <w:rPr>
                <w:rFonts w:ascii="Times New Roman" w:hAnsi="Times New Roman"/>
                <w:i/>
                <w:lang w:val="en-GB"/>
              </w:rPr>
            </w:pPr>
            <w:r w:rsidRPr="00FC2147">
              <w:rPr>
                <w:rFonts w:ascii="Times New Roman" w:hAnsi="Times New Roman"/>
                <w:i/>
                <w:lang w:val="en-GB"/>
              </w:rPr>
              <w:t>period of at least 20 days for the delivery of the shareholder’s opinion, which begins running upon the notification of the draft to the shareholders;</w:t>
            </w:r>
          </w:p>
          <w:p w:rsidRPr="00FC2147" w:rsidR="007C703C" w:rsidP="007C703C" w:rsidRDefault="007C703C" w14:paraId="1ED4E1C9" w14:textId="77777777">
            <w:pPr>
              <w:pStyle w:val="ListParagraph"/>
              <w:numPr>
                <w:ilvl w:val="2"/>
                <w:numId w:val="3"/>
              </w:numPr>
              <w:spacing w:after="0" w:line="360" w:lineRule="auto"/>
              <w:ind w:left="1418" w:hanging="681"/>
              <w:contextualSpacing w:val="0"/>
              <w:jc w:val="both"/>
              <w:rPr>
                <w:rFonts w:ascii="Times New Roman" w:hAnsi="Times New Roman"/>
                <w:i/>
                <w:lang w:val="en-GB"/>
              </w:rPr>
            </w:pPr>
            <w:r w:rsidRPr="00FC2147">
              <w:rPr>
                <w:rFonts w:ascii="Times New Roman" w:hAnsi="Times New Roman"/>
                <w:i/>
                <w:lang w:val="en-GB"/>
              </w:rPr>
              <w:t>supporting documents necessary for the acceptance of the decision;</w:t>
            </w:r>
          </w:p>
          <w:p w:rsidRPr="00FC2147" w:rsidR="007C703C" w:rsidP="007C703C" w:rsidRDefault="007C703C" w14:paraId="67E6A898" w14:textId="77777777">
            <w:pPr>
              <w:pStyle w:val="ListParagraph"/>
              <w:numPr>
                <w:ilvl w:val="2"/>
                <w:numId w:val="3"/>
              </w:numPr>
              <w:spacing w:after="0" w:line="360" w:lineRule="auto"/>
              <w:ind w:left="1418" w:hanging="681"/>
              <w:contextualSpacing w:val="0"/>
              <w:jc w:val="both"/>
              <w:rPr>
                <w:rFonts w:ascii="Times New Roman" w:hAnsi="Times New Roman"/>
                <w:i/>
                <w:lang w:val="en-GB"/>
              </w:rPr>
            </w:pPr>
            <w:r w:rsidRPr="00FC2147">
              <w:rPr>
                <w:rFonts w:ascii="Times New Roman" w:hAnsi="Times New Roman"/>
                <w:i/>
                <w:lang w:val="en-GB"/>
              </w:rPr>
              <w:t>record date</w:t>
            </w:r>
            <w:r>
              <w:rPr>
                <w:rFonts w:ascii="Times New Roman" w:hAnsi="Times New Roman"/>
                <w:i/>
                <w:lang w:val="en-GB"/>
              </w:rPr>
              <w:t>.”</w:t>
            </w:r>
          </w:p>
          <w:p w:rsidRPr="00FC2147" w:rsidR="007C703C" w:rsidP="007C703C" w:rsidRDefault="007C703C" w14:paraId="16DEC17D" w14:textId="77777777">
            <w:pPr>
              <w:spacing w:before="120" w:after="120"/>
              <w:ind w:left="360"/>
              <w:rPr>
                <w:b/>
                <w:i/>
                <w:lang w:val="en-GB"/>
              </w:rPr>
            </w:pPr>
            <w:r w:rsidRPr="00FC2147">
              <w:rPr>
                <w:b/>
                <w:i/>
                <w:lang w:val="en-GB"/>
              </w:rPr>
              <w:t>Article 11.2 of the Company’s Articles of Association is amended to read as follows:</w:t>
            </w:r>
          </w:p>
          <w:p w:rsidRPr="00FC2147" w:rsidR="007C703C" w:rsidP="007C703C" w:rsidRDefault="007C703C" w14:paraId="7AB18BF5" w14:textId="77777777">
            <w:pPr>
              <w:spacing w:before="120" w:after="120"/>
              <w:ind w:left="360"/>
              <w:rPr>
                <w:lang w:val="en-GB"/>
              </w:rPr>
            </w:pPr>
          </w:p>
          <w:p w:rsidR="007C703C" w:rsidP="007C703C" w:rsidRDefault="007C703C" w14:paraId="08533503" w14:textId="77777777">
            <w:pPr>
              <w:pStyle w:val="ListParagraph"/>
              <w:spacing w:after="0" w:line="360" w:lineRule="auto"/>
              <w:ind w:left="737"/>
              <w:contextualSpacing w:val="0"/>
              <w:jc w:val="both"/>
              <w:rPr>
                <w:rFonts w:ascii="Times New Roman" w:hAnsi="Times New Roman"/>
                <w:i/>
                <w:lang w:val="en-GB"/>
              </w:rPr>
            </w:pPr>
            <w:r>
              <w:rPr>
                <w:rFonts w:ascii="Times New Roman" w:hAnsi="Times New Roman"/>
                <w:i/>
                <w:lang w:val="en-GB"/>
              </w:rPr>
              <w:t>“</w:t>
            </w:r>
            <w:r w:rsidRPr="00966BF2">
              <w:rPr>
                <w:rFonts w:ascii="Times New Roman" w:hAnsi="Times New Roman"/>
                <w:i/>
                <w:lang w:val="en-GB"/>
              </w:rPr>
              <w:t>The record date for the decision of the General Meeting outside its meetings (per rollam) is the seventh day prior to the date on which the draft decision was notified to all shareholders in the manner in which the General Meeting is convened pursuant to these Articles of Association, i.e. the date of publication of the draft decision on the Company’s website http://www.czg.cz, or the date of publication in the Commercial Gazette, whichever occurs earlier. The person authorised to convene a General Meeting must ensure that, at least 15 days before the date of notification of the draft decision outside the meeting of the General Meeting (per rollam), on the Company’s website there will be published a notification of the intention to decide outside of the meeting of the General Meeting (per rollam) in which will be stated in particular information on the manner in which shareholders may acquaint themselves with draft decisions and with the underlying documentation of the draft decisions, and with decision-making rules.</w:t>
            </w:r>
            <w:r>
              <w:rPr>
                <w:rFonts w:ascii="Times New Roman" w:hAnsi="Times New Roman"/>
                <w:i/>
                <w:lang w:val="en-GB"/>
              </w:rPr>
              <w:t>”</w:t>
            </w:r>
          </w:p>
          <w:p w:rsidRPr="00FC2147" w:rsidR="007C703C" w:rsidP="007C703C" w:rsidRDefault="007C703C" w14:paraId="7B256311" w14:textId="77777777">
            <w:pPr>
              <w:spacing w:before="120" w:after="120"/>
              <w:ind w:left="360"/>
              <w:rPr>
                <w:b/>
                <w:i/>
                <w:lang w:val="en-GB"/>
              </w:rPr>
            </w:pPr>
            <w:r w:rsidRPr="00FC2147">
              <w:rPr>
                <w:b/>
                <w:i/>
                <w:lang w:val="en-GB"/>
              </w:rPr>
              <w:t>Article 11.3 of the Company’s Articles of Association is amended to read as follows:</w:t>
            </w:r>
          </w:p>
          <w:p w:rsidRPr="00FC2147" w:rsidR="007C703C" w:rsidP="007C703C" w:rsidRDefault="007C703C" w14:paraId="64567F1B" w14:textId="77777777">
            <w:pPr>
              <w:spacing w:before="120" w:after="120"/>
              <w:ind w:left="360"/>
              <w:rPr>
                <w:b/>
                <w:i/>
                <w:lang w:val="en-GB"/>
              </w:rPr>
            </w:pPr>
          </w:p>
          <w:p w:rsidR="007C703C" w:rsidP="007C703C" w:rsidRDefault="007C703C" w14:paraId="6557196E" w14:textId="77777777">
            <w:pPr>
              <w:pStyle w:val="ListParagraph"/>
              <w:spacing w:after="0" w:line="360" w:lineRule="auto"/>
              <w:ind w:left="737"/>
              <w:contextualSpacing w:val="0"/>
              <w:jc w:val="both"/>
              <w:rPr>
                <w:rFonts w:ascii="Times New Roman" w:hAnsi="Times New Roman"/>
                <w:i/>
                <w:lang w:val="en-GB"/>
              </w:rPr>
            </w:pPr>
            <w:r>
              <w:rPr>
                <w:rFonts w:ascii="Times New Roman" w:hAnsi="Times New Roman"/>
                <w:i/>
                <w:lang w:val="en-GB"/>
              </w:rPr>
              <w:t>“</w:t>
            </w:r>
            <w:r w:rsidRPr="00966BF2">
              <w:rPr>
                <w:rFonts w:ascii="Times New Roman" w:hAnsi="Times New Roman"/>
                <w:i/>
                <w:lang w:val="en-GB"/>
              </w:rPr>
              <w:t>Company’s shareholders may comment on the draft decision in writing with a shareholder’s authenticated signature within the stipulated period after the notification of the draft decision to the given shareholder. If the shareholder fails to deliver the original of his/her consent to the draft resolution to the person authorised to convene the General Meeting within the stipulated period, he/she is deemed to agree with the draft.</w:t>
            </w:r>
            <w:r>
              <w:rPr>
                <w:rFonts w:ascii="Times New Roman" w:hAnsi="Times New Roman"/>
                <w:i/>
                <w:lang w:val="en-GB"/>
              </w:rPr>
              <w:t>”</w:t>
            </w:r>
          </w:p>
          <w:p w:rsidRPr="00FC2147" w:rsidR="007C703C" w:rsidP="007C703C" w:rsidRDefault="007C703C" w14:paraId="59777D02" w14:textId="77777777">
            <w:pPr>
              <w:spacing w:before="120" w:after="120"/>
              <w:ind w:left="360"/>
              <w:rPr>
                <w:b/>
                <w:i/>
                <w:lang w:val="en-GB"/>
              </w:rPr>
            </w:pPr>
            <w:r w:rsidRPr="00FC2147">
              <w:rPr>
                <w:b/>
                <w:i/>
                <w:lang w:val="en-GB"/>
              </w:rPr>
              <w:t>Article 16.3 of the Company’s Articles of Association is amended to read as follows:</w:t>
            </w:r>
          </w:p>
          <w:p w:rsidRPr="00FC2147" w:rsidR="007C703C" w:rsidP="007C703C" w:rsidRDefault="007C703C" w14:paraId="58038CB8" w14:textId="77777777">
            <w:pPr>
              <w:spacing w:before="120" w:after="120"/>
              <w:ind w:left="360"/>
              <w:rPr>
                <w:b/>
                <w:i/>
                <w:lang w:val="en-GB"/>
              </w:rPr>
            </w:pPr>
          </w:p>
          <w:p w:rsidR="007C703C" w:rsidP="007C703C" w:rsidRDefault="007C703C" w14:paraId="1B3A4444" w14:textId="77777777">
            <w:pPr>
              <w:pStyle w:val="ListParagraph"/>
              <w:spacing w:after="0" w:line="360" w:lineRule="auto"/>
              <w:ind w:left="737"/>
              <w:contextualSpacing w:val="0"/>
              <w:jc w:val="both"/>
              <w:rPr>
                <w:rFonts w:ascii="Times New Roman" w:hAnsi="Times New Roman"/>
                <w:i/>
                <w:lang w:val="en-GB"/>
              </w:rPr>
            </w:pPr>
            <w:r>
              <w:rPr>
                <w:rFonts w:ascii="Times New Roman" w:hAnsi="Times New Roman"/>
                <w:i/>
                <w:lang w:val="en-GB"/>
              </w:rPr>
              <w:t>“</w:t>
            </w:r>
            <w:r w:rsidRPr="00966BF2">
              <w:rPr>
                <w:rFonts w:ascii="Times New Roman" w:hAnsi="Times New Roman"/>
                <w:i/>
                <w:lang w:val="en-GB"/>
              </w:rPr>
              <w:t>Board of Directors meetings and the resolutions passed there shall be recorded in minutes, which must be numbered in the agreed manner and signed by the chairperson and the record-keeper, providing that if the chairperson or the record-keeper attends the meeting of the Board of Directors using technical means, the minutes need not be signed on one deed by the chairperson and the record-keeper. The minutes of a meeting of the Board of Directors must state the date of the meeting, the ordinal number of the minutes, the names of the participating members of the Board of Directors (and, as the case may be, of the Supervisory Board), the specific content of the resolutions that were adopted, and the results of votes held (by name). An annex to the minutes will be the attendance list, providing that if a member of the Board of Directors or a member of the Supervisory Board attends the meeting of the Board of Directors using technical means, the attendance list need not be signed on one deed by all the present members of the Board of Directors or of the Supervisory Board. Copies of these minutes shall be circulated among all members of the Board of Directors and all members of the Supervisory Board. More details concerning meetings of the Board of Directors are stipulated in the rules of procedure.</w:t>
            </w:r>
            <w:r>
              <w:rPr>
                <w:rFonts w:ascii="Times New Roman" w:hAnsi="Times New Roman"/>
                <w:i/>
                <w:lang w:val="en-GB"/>
              </w:rPr>
              <w:t>”</w:t>
            </w:r>
          </w:p>
          <w:p w:rsidRPr="00FC2147" w:rsidR="007C703C" w:rsidP="007C703C" w:rsidRDefault="007C703C" w14:paraId="25599AE1" w14:textId="77777777">
            <w:pPr>
              <w:spacing w:before="120" w:after="120"/>
              <w:ind w:left="360"/>
              <w:rPr>
                <w:b/>
                <w:i/>
                <w:lang w:val="en-GB"/>
              </w:rPr>
            </w:pPr>
            <w:r w:rsidRPr="00FC2147">
              <w:rPr>
                <w:b/>
                <w:i/>
                <w:lang w:val="en-GB"/>
              </w:rPr>
              <w:t>Article 22.3 of the Company’s Articles of Association is amended to read as follows:</w:t>
            </w:r>
          </w:p>
          <w:p w:rsidRPr="00FC2147" w:rsidR="007C703C" w:rsidP="007C703C" w:rsidRDefault="007C703C" w14:paraId="799769B9" w14:textId="77777777">
            <w:pPr>
              <w:spacing w:before="120" w:after="120"/>
              <w:ind w:left="360"/>
              <w:rPr>
                <w:rFonts w:ascii="Arial" w:hAnsi="Arial" w:cs="Arial"/>
                <w:lang w:val="en-GB"/>
              </w:rPr>
            </w:pPr>
          </w:p>
          <w:p w:rsidRPr="007C703C" w:rsidR="007C703C" w:rsidP="007C703C" w:rsidRDefault="007C703C" w14:paraId="5A65CAB9" w14:textId="06153769">
            <w:pPr>
              <w:pStyle w:val="ListParagraph"/>
              <w:spacing w:after="0" w:line="360" w:lineRule="auto"/>
              <w:ind w:left="737"/>
              <w:contextualSpacing w:val="0"/>
              <w:jc w:val="both"/>
              <w:rPr>
                <w:rFonts w:ascii="Times New Roman" w:hAnsi="Times New Roman"/>
                <w:i/>
                <w:lang w:val="en-GB"/>
              </w:rPr>
            </w:pPr>
            <w:r>
              <w:rPr>
                <w:rFonts w:ascii="Times New Roman" w:hAnsi="Times New Roman"/>
                <w:i/>
                <w:lang w:val="en-GB"/>
              </w:rPr>
              <w:t>“</w:t>
            </w:r>
            <w:r w:rsidRPr="00966BF2">
              <w:rPr>
                <w:rFonts w:ascii="Times New Roman" w:hAnsi="Times New Roman"/>
                <w:i/>
                <w:lang w:val="en-GB"/>
              </w:rPr>
              <w:t>Supervisory Board meetings and the resolutions passed there shall be recorded in minutes, which must be signed by the chairperson and the record-keeper, providing that if the chairperson or the record-keeper attends the meeting of the Supervisory Board using technical means, the minutes need not be signed on one deed by the chairperson and the record-keeper. The minutes of a meeting of the Supervisory Board must state the date of the meeting, the ordinal number of the minutes, the names of the participating members of the Supervisory Board, the specific content of the resolutions that were adopted, and the results of votes held (by name). An annex to the minutes will be the attendance list, providing that if a member of the Supervisory Board attends the meeting of the Supervisory Board using technical means, the attendance list need not be signed on one deed by all the present members of the Supervisory Board. Copies of these minutes shall always be circulated among all members of the Supervisory Board. More details concerning meetings of the Supervisory Board are stipulated in the rules of procedure.</w:t>
            </w:r>
            <w:r>
              <w:rPr>
                <w:rFonts w:ascii="Times New Roman" w:hAnsi="Times New Roman"/>
                <w:i/>
                <w:lang w:val="en-GB"/>
              </w:rPr>
              <w:t>”</w:t>
            </w:r>
            <w:r w:rsidRPr="00AF4EDB">
              <w:rPr>
                <w:rFonts w:ascii="Times New Roman" w:hAnsi="Times New Roman"/>
                <w:b/>
                <w:i/>
                <w:lang w:val="en-GB"/>
              </w:rPr>
              <w:t>”</w:t>
            </w:r>
            <w:bookmarkStart w:name="_GoBack" w:id="0"/>
            <w:bookmarkEnd w:id="0"/>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7C703C" w:rsidP="007C703C" w:rsidRDefault="007C703C" w14:paraId="6C334F67"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IN FAVOUR</w:t>
            </w:r>
          </w:p>
          <w:p w:rsidRPr="005C513B" w:rsidR="007C703C" w:rsidP="007C703C" w:rsidRDefault="007C703C" w14:paraId="58E74E46" w14:textId="77777777">
            <w:pPr>
              <w:pStyle w:val="ListParagraph"/>
              <w:spacing w:before="120" w:after="120" w:line="240" w:lineRule="auto"/>
              <w:ind w:left="0"/>
              <w:contextualSpacing w:val="0"/>
              <w:jc w:val="both"/>
              <w:rPr>
                <w:rFonts w:ascii="Times New Roman" w:hAnsi="Times New Roman"/>
                <w:b/>
                <w:bCs/>
                <w:lang w:val="en-GB"/>
              </w:rPr>
            </w:pPr>
            <w:r w:rsidRPr="00F05A6D">
              <w:rPr>
                <w:rFonts w:ascii="Times New Roman" w:hAnsi="Times New Roman"/>
                <w:b/>
                <w:bCs/>
                <w:noProof/>
                <w:lang w:eastAsia="cs-CZ"/>
              </w:rPr>
              <mc:AlternateContent>
                <mc:Choice Requires="wps">
                  <w:drawing>
                    <wp:anchor distT="0" distB="0" distL="114300" distR="114300" simplePos="0" relativeHeight="251677696" behindDoc="0" locked="0" layoutInCell="1" allowOverlap="1" wp14:editId="0C830550" wp14:anchorId="4C69A8F1">
                      <wp:simplePos x="0" y="0"/>
                      <wp:positionH relativeFrom="column">
                        <wp:posOffset>232217</wp:posOffset>
                      </wp:positionH>
                      <wp:positionV relativeFrom="paragraph">
                        <wp:posOffset>6653</wp:posOffset>
                      </wp:positionV>
                      <wp:extent cx="424815" cy="414655"/>
                      <wp:effectExtent l="0" t="0" r="13335" b="23495"/>
                      <wp:wrapNone/>
                      <wp:docPr id="7"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5AD82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PLHG+2UCAAAKBQAADgAAAAAAAAAAAAAAAAAuAgAAZHJzL2Uy&#10;b0RvYy54bWxQSwECLQAUAAYACAAAACEAvYej2NsAAAAHAQAADwAAAAAAAAAAAAAAAAC/BAAAZHJz&#10;L2Rvd25yZXYueG1sUEsFBgAAAAAEAAQA8wAAAMcFAAAAAA==&#10;"/>
                  </w:pict>
                </mc:Fallback>
              </mc:AlternateContent>
            </w:r>
          </w:p>
          <w:p w:rsidRPr="005C513B" w:rsidR="007C703C" w:rsidP="007C703C" w:rsidRDefault="007C703C" w14:paraId="3CB2C014" w14:textId="77777777">
            <w:pPr>
              <w:pStyle w:val="ListParagraph"/>
              <w:spacing w:before="120" w:after="120" w:line="240" w:lineRule="auto"/>
              <w:ind w:left="0"/>
              <w:contextualSpacing w:val="0"/>
              <w:jc w:val="center"/>
              <w:rPr>
                <w:rFonts w:ascii="Times New Roman" w:hAnsi="Times New Roman"/>
                <w:b/>
                <w:bCs/>
                <w:lang w:val="en-GB"/>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C0680C" w:rsidR="007C703C" w:rsidP="007C703C" w:rsidRDefault="007C703C" w14:paraId="4E61530F" w14:textId="77777777">
            <w:pPr>
              <w:pStyle w:val="ListParagraph"/>
              <w:spacing w:before="120" w:after="120" w:line="240" w:lineRule="auto"/>
              <w:ind w:left="0"/>
              <w:contextualSpacing w:val="0"/>
              <w:jc w:val="center"/>
              <w:rPr>
                <w:rFonts w:ascii="Times New Roman" w:hAnsi="Times New Roman"/>
                <w:b/>
                <w:bCs/>
                <w:lang w:val="en-GB"/>
              </w:rPr>
            </w:pPr>
            <w:r>
              <w:rPr>
                <w:rFonts w:ascii="Times New Roman" w:hAnsi="Times New Roman"/>
                <w:b/>
                <w:bCs/>
                <w:lang w:val="en-GB"/>
              </w:rPr>
              <w:t>AGAINST</w:t>
            </w:r>
          </w:p>
          <w:p w:rsidRPr="005C513B" w:rsidR="007C703C" w:rsidP="007C703C" w:rsidRDefault="007C703C" w14:paraId="268F5B9C" w14:textId="77777777">
            <w:pPr>
              <w:pStyle w:val="ListParagraph"/>
              <w:spacing w:before="120" w:after="120" w:line="240" w:lineRule="auto"/>
              <w:ind w:left="0"/>
              <w:contextualSpacing w:val="0"/>
              <w:jc w:val="center"/>
              <w:rPr>
                <w:rFonts w:ascii="Times New Roman" w:hAnsi="Times New Roman"/>
                <w:b/>
                <w:bCs/>
                <w:lang w:val="en-GB"/>
              </w:rPr>
            </w:pPr>
            <w:r w:rsidRPr="00F05A6D">
              <w:rPr>
                <w:rFonts w:ascii="Times New Roman" w:hAnsi="Times New Roman"/>
                <w:b/>
                <w:bCs/>
                <w:noProof/>
                <w:lang w:eastAsia="cs-CZ"/>
              </w:rPr>
              <mc:AlternateContent>
                <mc:Choice Requires="wps">
                  <w:drawing>
                    <wp:anchor distT="0" distB="0" distL="114300" distR="114300" simplePos="0" relativeHeight="251678720" behindDoc="0" locked="0" layoutInCell="1" allowOverlap="1" wp14:editId="669293C0" wp14:anchorId="196F86C9">
                      <wp:simplePos x="0" y="0"/>
                      <wp:positionH relativeFrom="column">
                        <wp:posOffset>259881</wp:posOffset>
                      </wp:positionH>
                      <wp:positionV relativeFrom="paragraph">
                        <wp:posOffset>3479</wp:posOffset>
                      </wp:positionV>
                      <wp:extent cx="425303" cy="414655"/>
                      <wp:effectExtent l="0" t="0" r="13335" b="23495"/>
                      <wp:wrapNone/>
                      <wp:docPr id="8"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24D6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ZwIAAAs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Or6H6tnAgAACwUAAA4AAAAAAAAAAAAAAAAALgIAAGRycy9l&#10;Mm9Eb2MueG1sUEsBAi0AFAAGAAgAAAAhAECzT1/aAAAABgEAAA8AAAAAAAAAAAAAAAAAwQQAAGRy&#10;cy9kb3ducmV2LnhtbFBLBQYAAAAABAAEAPMAAADIBQAAAAA=&#10;"/>
                  </w:pict>
                </mc:Fallback>
              </mc:AlternateContent>
            </w:r>
          </w:p>
        </w:tc>
      </w:tr>
      <w:tr w:rsidRPr="00E0156E" w:rsidR="007C703C" w:rsidTr="007126AB" w14:paraId="229A1706" w14:textId="77777777">
        <w:tc>
          <w:tcPr>
            <w:tcW w:w="5000" w:type="pct"/>
            <w:gridSpan w:val="3"/>
            <w:tcBorders>
              <w:top w:val="single" w:color="auto" w:sz="4" w:space="0"/>
            </w:tcBorders>
            <w:shd w:val="clear" w:color="auto" w:fill="auto"/>
          </w:tcPr>
          <w:p w:rsidR="007C703C" w:rsidP="007C703C" w:rsidRDefault="007C703C" w14:paraId="16EDA351" w14:textId="77777777">
            <w:pPr>
              <w:spacing w:before="120" w:after="120"/>
              <w:jc w:val="both"/>
              <w:rPr>
                <w:lang w:val="en-GB"/>
              </w:rPr>
            </w:pPr>
          </w:p>
          <w:p w:rsidRPr="00E0156E" w:rsidR="007C703C" w:rsidP="007C703C" w:rsidRDefault="007C703C" w14:paraId="1EBBB84D" w14:textId="0BAA14D3">
            <w:pPr>
              <w:spacing w:before="120" w:after="120"/>
              <w:jc w:val="both"/>
              <w:rPr>
                <w:lang w:val="en-GB"/>
              </w:rPr>
            </w:pPr>
          </w:p>
        </w:tc>
      </w:tr>
      <w:tr w:rsidRPr="00E0156E" w:rsidR="007C703C" w:rsidTr="007126AB" w14:paraId="3184D82B" w14:textId="77777777">
        <w:tc>
          <w:tcPr>
            <w:tcW w:w="5000" w:type="pct"/>
            <w:gridSpan w:val="3"/>
            <w:shd w:val="clear" w:color="auto" w:fill="auto"/>
          </w:tcPr>
          <w:p w:rsidRPr="00E0156E" w:rsidR="007C703C" w:rsidP="007C703C" w:rsidRDefault="007C703C" w14:paraId="792592FC" w14:textId="09B911E9">
            <w:pPr>
              <w:spacing w:before="120" w:after="120"/>
              <w:jc w:val="both"/>
              <w:rPr>
                <w:lang w:val="en-GB"/>
              </w:rPr>
            </w:pPr>
          </w:p>
        </w:tc>
      </w:tr>
      <w:tr w:rsidRPr="00E0156E" w:rsidR="007C703C" w:rsidTr="0070063D" w14:paraId="734837A7" w14:textId="77777777">
        <w:tc>
          <w:tcPr>
            <w:tcW w:w="5000" w:type="pct"/>
            <w:gridSpan w:val="3"/>
            <w:shd w:val="clear" w:color="auto" w:fill="auto"/>
          </w:tcPr>
          <w:p w:rsidR="007C703C" w:rsidP="007C703C" w:rsidRDefault="007C703C" w14:paraId="0C497B6B" w14:textId="20F89B6E">
            <w:pPr>
              <w:spacing w:before="120" w:after="120"/>
              <w:jc w:val="both"/>
              <w:rPr>
                <w:lang w:val="en-GB"/>
              </w:rPr>
            </w:pPr>
            <w:r>
              <w:rPr>
                <w:lang w:val="en-GB"/>
              </w:rPr>
              <w:t>Place:</w:t>
            </w:r>
          </w:p>
          <w:p w:rsidRPr="00E0156E" w:rsidR="007C703C" w:rsidP="007C703C" w:rsidRDefault="007C703C" w14:paraId="339D34E1" w14:textId="0FB4FC6E">
            <w:pPr>
              <w:spacing w:before="120" w:after="120"/>
              <w:jc w:val="both"/>
              <w:rPr>
                <w:lang w:val="en-GB"/>
              </w:rPr>
            </w:pPr>
            <w:r>
              <w:rPr>
                <w:lang w:val="en-GB"/>
              </w:rPr>
              <w:t>Date:</w:t>
            </w:r>
          </w:p>
          <w:p w:rsidRPr="00E0156E" w:rsidR="007C703C" w:rsidP="007C703C" w:rsidRDefault="007C703C" w14:paraId="56DFE56C" w14:textId="77777777">
            <w:pPr>
              <w:spacing w:before="120" w:after="120"/>
              <w:jc w:val="both"/>
              <w:rPr>
                <w:lang w:val="en-GB"/>
              </w:rPr>
            </w:pPr>
          </w:p>
          <w:p w:rsidRPr="00E0156E" w:rsidR="007C703C" w:rsidP="007C703C" w:rsidRDefault="007C703C" w14:paraId="7A107589" w14:textId="77777777">
            <w:pPr>
              <w:spacing w:before="120" w:after="120"/>
              <w:jc w:val="both"/>
              <w:rPr>
                <w:lang w:val="en-GB"/>
              </w:rPr>
            </w:pPr>
            <w:r w:rsidRPr="00E0156E">
              <w:rPr>
                <w:lang w:val="en-GB"/>
              </w:rPr>
              <w:t>………………………………………………………………………………………………………...</w:t>
            </w:r>
          </w:p>
          <w:p w:rsidR="007C703C" w:rsidP="007C703C" w:rsidRDefault="007C703C" w14:paraId="0B46A0A3" w14:textId="274A4EE6">
            <w:pPr>
              <w:spacing w:before="120" w:after="120"/>
              <w:jc w:val="both"/>
              <w:rPr>
                <w:sz w:val="20"/>
                <w:szCs w:val="20"/>
                <w:lang w:val="en-GB"/>
              </w:rPr>
            </w:pPr>
            <w:r>
              <w:rPr>
                <w:lang w:val="en-GB"/>
              </w:rPr>
              <w:t>S</w:t>
            </w:r>
            <w:r w:rsidRPr="007126AB">
              <w:rPr>
                <w:lang w:val="en-GB"/>
              </w:rPr>
              <w:t xml:space="preserve">ignature of the shareholder </w:t>
            </w:r>
            <w:r w:rsidRPr="007126AB">
              <w:t xml:space="preserve">/ </w:t>
            </w:r>
            <w:r w:rsidRPr="007126AB">
              <w:rPr>
                <w:lang w:val="en-GB"/>
              </w:rPr>
              <w:t>shareholder</w:t>
            </w:r>
            <w:r w:rsidRPr="007126AB">
              <w:rPr>
                <w:lang w:val="en-US"/>
              </w:rPr>
              <w:t>’</w:t>
            </w:r>
            <w:r w:rsidRPr="007126AB">
              <w:t xml:space="preserve">s </w:t>
            </w:r>
            <w:r w:rsidRPr="007126AB">
              <w:rPr>
                <w:lang w:val="en-US"/>
              </w:rPr>
              <w:t>representative</w:t>
            </w:r>
            <w:r w:rsidRPr="0090036C" w:rsidDel="0090036C">
              <w:rPr>
                <w:bCs/>
                <w:lang w:val="en-GB"/>
              </w:rPr>
              <w:t xml:space="preserve"> </w:t>
            </w:r>
            <w:r>
              <w:rPr>
                <w:bCs/>
                <w:lang w:val="en-GB"/>
              </w:rPr>
              <w:t>(signatory)</w:t>
            </w:r>
          </w:p>
          <w:p w:rsidR="007C703C" w:rsidP="007C703C" w:rsidRDefault="007C703C" w14:paraId="5A6D4729" w14:textId="77777777">
            <w:pPr>
              <w:spacing w:before="120" w:after="120"/>
              <w:jc w:val="both"/>
              <w:rPr>
                <w:sz w:val="20"/>
                <w:szCs w:val="20"/>
                <w:lang w:val="en-GB"/>
              </w:rPr>
            </w:pPr>
          </w:p>
          <w:p w:rsidRPr="00E0156E" w:rsidR="007C703C" w:rsidP="007C703C" w:rsidRDefault="007C703C" w14:paraId="35C8CC09" w14:textId="104C16F8">
            <w:pPr>
              <w:spacing w:before="120" w:after="120"/>
              <w:jc w:val="both"/>
              <w:rPr>
                <w:sz w:val="20"/>
                <w:szCs w:val="20"/>
                <w:lang w:val="en-GB"/>
              </w:rPr>
            </w:pPr>
            <w:r w:rsidRPr="00E0156E">
              <w:rPr>
                <w:sz w:val="20"/>
                <w:szCs w:val="20"/>
                <w:lang w:val="en-GB"/>
              </w:rPr>
              <w:t>[</w:t>
            </w:r>
            <w:r>
              <w:rPr>
                <w:sz w:val="20"/>
                <w:szCs w:val="20"/>
                <w:lang w:val="en-GB"/>
              </w:rPr>
              <w:t>authenticated signature</w:t>
            </w:r>
            <w:r w:rsidRPr="00E0156E">
              <w:rPr>
                <w:sz w:val="20"/>
                <w:szCs w:val="20"/>
                <w:lang w:val="en-GB"/>
              </w:rPr>
              <w:t>]</w:t>
            </w:r>
          </w:p>
        </w:tc>
      </w:tr>
    </w:tbl>
    <w:p w:rsidRPr="00E0156E" w:rsidR="00B853EC" w:rsidP="002C32B3" w:rsidRDefault="00B853EC" w14:paraId="58651F1F" w14:textId="77777777">
      <w:pPr>
        <w:spacing w:before="120" w:after="120"/>
        <w:jc w:val="both"/>
        <w:rPr>
          <w:lang w:val="en-GB"/>
        </w:rPr>
      </w:pPr>
    </w:p>
    <w:sectPr w:rsidRPr="00E0156E" w:rsidR="00B853EC" w:rsidSect="00A11C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44" w:rsidRDefault="00AF6144" w14:paraId="58466B2B" w14:textId="77777777">
      <w:r>
        <w:separator/>
      </w:r>
    </w:p>
  </w:endnote>
  <w:endnote w:type="continuationSeparator" w:id="0">
    <w:p w:rsidR="00AF6144" w:rsidRDefault="00AF6144" w14:paraId="727720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07F3B5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4F67F8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58811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44" w:rsidRDefault="00AF6144" w14:paraId="3922CD09" w14:textId="77777777">
      <w:r>
        <w:separator/>
      </w:r>
    </w:p>
  </w:footnote>
  <w:footnote w:type="continuationSeparator" w:id="0">
    <w:p w:rsidR="00AF6144" w:rsidRDefault="00AF6144" w14:paraId="0ABF88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3C0082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5F1C50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CBD" w:rsidRDefault="000D5CBD" w14:paraId="725A5E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2C50AF"/>
    <w:multiLevelType w:val="multilevel"/>
    <w:tmpl w:val="C1D20D1E"/>
    <w:lvl w:ilvl="0">
      <w:start w:val="5"/>
      <w:numFmt w:val="decimal"/>
      <w:lvlText w:val="%1."/>
      <w:lvlJc w:val="left"/>
      <w:pPr>
        <w:ind w:left="737" w:hanging="737"/>
      </w:pPr>
      <w:rPr>
        <w:rFonts w:ascii="Arial" w:hAnsi="Arial" w:cs="Arial" w:hint="default"/>
        <w:b/>
        <w:i w:val="0"/>
        <w:sz w:val="24"/>
      </w:rPr>
    </w:lvl>
    <w:lvl w:ilvl="1">
      <w:start w:val="1"/>
      <w:numFmt w:val="decimal"/>
      <w:lvlText w:val="%1.%2."/>
      <w:lvlJc w:val="left"/>
      <w:pPr>
        <w:ind w:left="737" w:hanging="737"/>
      </w:pPr>
      <w:rPr>
        <w:rFonts w:ascii="Arial" w:hAnsi="Arial" w:cs="Arial" w:hint="default"/>
        <w:b w:val="0"/>
        <w:i w:val="0"/>
        <w:sz w:val="22"/>
        <w:szCs w:val="22"/>
      </w:rPr>
    </w:lvl>
    <w:lvl w:ilvl="2">
      <w:start w:val="1"/>
      <w:numFmt w:val="lowerLetter"/>
      <w:lvlText w:val="%3)"/>
      <w:lvlJc w:val="left"/>
      <w:pPr>
        <w:ind w:left="170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8D68DD"/>
    <w:multiLevelType w:val="hybridMultilevel"/>
    <w:tmpl w:val="83FA8748"/>
    <w:lvl w:ilvl="0" w:tplc="45621EE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00"/>
    <w:rsid w:val="000101C6"/>
    <w:rsid w:val="00041F5F"/>
    <w:rsid w:val="000918A9"/>
    <w:rsid w:val="000D5CBD"/>
    <w:rsid w:val="000E32E5"/>
    <w:rsid w:val="000F2E6C"/>
    <w:rsid w:val="00181342"/>
    <w:rsid w:val="001A13E8"/>
    <w:rsid w:val="001A193C"/>
    <w:rsid w:val="001B5984"/>
    <w:rsid w:val="001C60A1"/>
    <w:rsid w:val="001E7DAE"/>
    <w:rsid w:val="002C32B3"/>
    <w:rsid w:val="00316008"/>
    <w:rsid w:val="0035433E"/>
    <w:rsid w:val="003B4BB8"/>
    <w:rsid w:val="00497C5C"/>
    <w:rsid w:val="004A0A0F"/>
    <w:rsid w:val="004B6A1C"/>
    <w:rsid w:val="004E4A4A"/>
    <w:rsid w:val="0058460D"/>
    <w:rsid w:val="005861AD"/>
    <w:rsid w:val="005C513B"/>
    <w:rsid w:val="005C6594"/>
    <w:rsid w:val="005D33C9"/>
    <w:rsid w:val="005D4295"/>
    <w:rsid w:val="005F01CB"/>
    <w:rsid w:val="00656D35"/>
    <w:rsid w:val="00673A00"/>
    <w:rsid w:val="006A0A81"/>
    <w:rsid w:val="006D36FF"/>
    <w:rsid w:val="0070063D"/>
    <w:rsid w:val="007126AB"/>
    <w:rsid w:val="007172F8"/>
    <w:rsid w:val="007202EE"/>
    <w:rsid w:val="0073229D"/>
    <w:rsid w:val="00743A3C"/>
    <w:rsid w:val="00757254"/>
    <w:rsid w:val="00785835"/>
    <w:rsid w:val="007C703C"/>
    <w:rsid w:val="00827CA0"/>
    <w:rsid w:val="00852C53"/>
    <w:rsid w:val="008C4A12"/>
    <w:rsid w:val="0090036C"/>
    <w:rsid w:val="00953A43"/>
    <w:rsid w:val="00962FFF"/>
    <w:rsid w:val="009C2FCB"/>
    <w:rsid w:val="00A16FC3"/>
    <w:rsid w:val="00A63B23"/>
    <w:rsid w:val="00A82A0D"/>
    <w:rsid w:val="00AA467D"/>
    <w:rsid w:val="00AF6144"/>
    <w:rsid w:val="00B432BB"/>
    <w:rsid w:val="00B853EC"/>
    <w:rsid w:val="00C062F5"/>
    <w:rsid w:val="00C562F9"/>
    <w:rsid w:val="00CF1F66"/>
    <w:rsid w:val="00D37201"/>
    <w:rsid w:val="00E0156E"/>
    <w:rsid w:val="00E019E0"/>
    <w:rsid w:val="00F05A6D"/>
    <w:rsid w:val="00F40EC6"/>
    <w:rsid w:val="00F74EC9"/>
    <w:rsid w:val="00FC49C2"/>
    <w:rsid w:val="00FE0837"/>
    <w:rsid w:val="00FE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8A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4132"/>
    <w:pPr>
      <w:spacing w:after="0" w:line="240" w:lineRule="auto"/>
    </w:pPr>
    <w:rPr>
      <w:rFonts w:ascii="Times New Roman" w:hAnsi="Times New Roman" w:eastAsia="Times New Roman" w:cs="Times New Roman"/>
      <w:lang w:eastAsia="cs-CZ"/>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FE4132"/>
    <w:rPr>
      <w:snapToGrid w:val="0"/>
      <w:color w:val="000000"/>
      <w:sz w:val="24"/>
      <w:szCs w:val="20"/>
    </w:rPr>
  </w:style>
  <w:style w:type="character" w:styleId="BodyTextChar" w:customStyle="1">
    <w:name w:val="Body Text Char"/>
    <w:basedOn w:val="DefaultParagraphFont"/>
    <w:link w:val="BodyText"/>
    <w:rsid w:val="00FE4132"/>
    <w:rPr>
      <w:rFonts w:ascii="Times New Roman" w:hAnsi="Times New Roman" w:eastAsia="Times New Roman" w:cs="Times New Roman"/>
      <w:snapToGrid w:val="0"/>
      <w:color w:val="000000"/>
      <w:sz w:val="24"/>
      <w:szCs w:val="20"/>
      <w:lang w:eastAsia="cs-CZ"/>
    </w:rPr>
  </w:style>
  <w:style w:type="paragraph" w:styleId="Header">
    <w:name w:val="header"/>
    <w:basedOn w:val="Normal"/>
    <w:link w:val="HeaderChar"/>
    <w:uiPriority w:val="99"/>
    <w:rsid w:val="00FE4132"/>
    <w:pPr>
      <w:tabs>
        <w:tab w:val="center" w:pos="4153"/>
        <w:tab w:val="right" w:pos="8306"/>
      </w:tabs>
    </w:pPr>
    <w:rPr>
      <w:sz w:val="20"/>
      <w:szCs w:val="20"/>
      <w:lang w:eastAsia="en-US"/>
    </w:rPr>
  </w:style>
  <w:style w:type="character" w:styleId="HeaderChar" w:customStyle="1">
    <w:name w:val="Header Char"/>
    <w:basedOn w:val="DefaultParagraphFont"/>
    <w:link w:val="Header"/>
    <w:uiPriority w:val="99"/>
    <w:rsid w:val="00FE4132"/>
    <w:rPr>
      <w:rFonts w:ascii="Times New Roman" w:hAnsi="Times New Roman" w:eastAsia="Times New Roman" w:cs="Times New Roman"/>
      <w:sz w:val="20"/>
      <w:szCs w:val="20"/>
    </w:rPr>
  </w:style>
  <w:style w:type="paragraph" w:styleId="ListParagraph">
    <w:name w:val="List Paragraph"/>
    <w:basedOn w:val="Normal"/>
    <w:uiPriority w:val="34"/>
    <w:qFormat/>
    <w:rsid w:val="00FE4132"/>
    <w:pPr>
      <w:spacing w:after="200" w:line="276" w:lineRule="auto"/>
      <w:ind w:left="720"/>
      <w:contextualSpacing/>
    </w:pPr>
    <w:rPr>
      <w:rFonts w:ascii="Calibri" w:hAnsi="Calibri" w:eastAsia="Calibri"/>
      <w:lang w:eastAsia="en-US"/>
    </w:rPr>
  </w:style>
  <w:style w:type="table" w:styleId="TableGrid">
    <w:name w:val="Table Grid"/>
    <w:basedOn w:val="TableNormal"/>
    <w:rsid w:val="00FE4132"/>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FE4132"/>
    <w:pPr>
      <w:tabs>
        <w:tab w:val="center" w:pos="4536"/>
        <w:tab w:val="right" w:pos="9072"/>
      </w:tabs>
    </w:pPr>
  </w:style>
  <w:style w:type="character" w:styleId="FooterChar" w:customStyle="1">
    <w:name w:val="Footer Char"/>
    <w:basedOn w:val="DefaultParagraphFont"/>
    <w:link w:val="Footer"/>
    <w:uiPriority w:val="99"/>
    <w:rsid w:val="00FE4132"/>
    <w:rPr>
      <w:rFonts w:ascii="Times New Roman" w:hAnsi="Times New Roman" w:eastAsia="Times New Roman" w:cs="Times New Roman"/>
      <w:lang w:eastAsia="cs-CZ"/>
    </w:rPr>
  </w:style>
  <w:style w:type="character" w:styleId="CommentReference">
    <w:name w:val="annotation reference"/>
    <w:rsid w:val="00FE4132"/>
    <w:rPr>
      <w:sz w:val="16"/>
      <w:szCs w:val="16"/>
    </w:rPr>
  </w:style>
  <w:style w:type="paragraph" w:styleId="CommentText">
    <w:name w:val="annotation text"/>
    <w:basedOn w:val="Normal"/>
    <w:link w:val="CommentTextChar"/>
    <w:rsid w:val="00FE4132"/>
    <w:rPr>
      <w:sz w:val="20"/>
      <w:szCs w:val="20"/>
    </w:rPr>
  </w:style>
  <w:style w:type="character" w:styleId="CommentTextChar" w:customStyle="1">
    <w:name w:val="Comment Text Char"/>
    <w:basedOn w:val="DefaultParagraphFont"/>
    <w:link w:val="CommentText"/>
    <w:rsid w:val="00FE4132"/>
    <w:rPr>
      <w:rFonts w:ascii="Times New Roman" w:hAnsi="Times New Roman" w:eastAsia="Times New Roman" w:cs="Times New Roman"/>
      <w:sz w:val="20"/>
      <w:szCs w:val="20"/>
      <w:lang w:eastAsia="cs-CZ"/>
    </w:rPr>
  </w:style>
  <w:style w:type="paragraph" w:styleId="BalloonText">
    <w:name w:val="Balloon Text"/>
    <w:basedOn w:val="Normal"/>
    <w:link w:val="BalloonTextChar"/>
    <w:uiPriority w:val="99"/>
    <w:semiHidden/>
    <w:unhideWhenUsed/>
    <w:rsid w:val="00FE413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4132"/>
    <w:rPr>
      <w:rFonts w:ascii="Segoe UI" w:hAnsi="Segoe UI" w:eastAsia="Times New Roman" w:cs="Segoe UI"/>
      <w:sz w:val="18"/>
      <w:szCs w:val="18"/>
      <w:lang w:eastAsia="cs-CZ"/>
    </w:rPr>
  </w:style>
  <w:style w:type="paragraph" w:styleId="Revision">
    <w:name w:val="Revision"/>
    <w:hidden/>
    <w:uiPriority w:val="99"/>
    <w:semiHidden/>
    <w:rsid w:val="00F05A6D"/>
    <w:pPr>
      <w:spacing w:after="0" w:line="240" w:lineRule="auto"/>
    </w:pPr>
    <w:rPr>
      <w:rFonts w:ascii="Times New Roman" w:hAnsi="Times New Roman"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331471">
      <w:bodyDiv w:val="1"/>
      <w:marLeft w:val="0"/>
      <w:marRight w:val="0"/>
      <w:marTop w:val="0"/>
      <w:marBottom w:val="0"/>
      <w:divBdr>
        <w:top w:val="none" w:sz="0" w:space="0" w:color="auto"/>
        <w:left w:val="none" w:sz="0" w:space="0" w:color="auto"/>
        <w:bottom w:val="none" w:sz="0" w:space="0" w:color="auto"/>
        <w:right w:val="none" w:sz="0" w:space="0" w:color="auto"/>
      </w:divBdr>
    </w:div>
    <w:div w:id="1205943133">
      <w:bodyDiv w:val="1"/>
      <w:marLeft w:val="0"/>
      <w:marRight w:val="0"/>
      <w:marTop w:val="0"/>
      <w:marBottom w:val="0"/>
      <w:divBdr>
        <w:top w:val="none" w:sz="0" w:space="0" w:color="auto"/>
        <w:left w:val="none" w:sz="0" w:space="0" w:color="auto"/>
        <w:bottom w:val="none" w:sz="0" w:space="0" w:color="auto"/>
        <w:right w:val="none" w:sz="0" w:space="0" w:color="auto"/>
      </w:divBdr>
    </w:div>
    <w:div w:id="13134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42e67a54-274b-43d7-8098-b3ba5f50e576_Enabled">
    <vt:lpwstr>True</vt:lpwstr>
  </op:property>
  <op:property fmtid="{D5CDD505-2E9C-101B-9397-08002B2CF9AE}" pid="3" name="MSIP_Label_42e67a54-274b-43d7-8098-b3ba5f50e576_SiteId">
    <vt:lpwstr>7f0b44d2-04f8-4672-bf5d-4676796468a3</vt:lpwstr>
  </op:property>
  <op:property fmtid="{D5CDD505-2E9C-101B-9397-08002B2CF9AE}" pid="4" name="MSIP_Label_42e67a54-274b-43d7-8098-b3ba5f50e576_Owner">
    <vt:lpwstr>Martin.Kocanda@allenovery.com</vt:lpwstr>
  </op:property>
  <op:property fmtid="{D5CDD505-2E9C-101B-9397-08002B2CF9AE}" pid="5" name="MSIP_Label_42e67a54-274b-43d7-8098-b3ba5f50e576_SetDate">
    <vt:lpwstr>2021-02-22T19:00:43.6323848Z</vt:lpwstr>
  </op:property>
  <op:property fmtid="{D5CDD505-2E9C-101B-9397-08002B2CF9AE}" pid="6" name="MSIP_Label_42e67a54-274b-43d7-8098-b3ba5f50e576_Name">
    <vt:lpwstr>Restricted</vt:lpwstr>
  </op:property>
  <op:property fmtid="{D5CDD505-2E9C-101B-9397-08002B2CF9AE}" pid="7" name="MSIP_Label_42e67a54-274b-43d7-8098-b3ba5f50e576_Application">
    <vt:lpwstr>Microsoft Azure Information Protection</vt:lpwstr>
  </op:property>
  <op:property fmtid="{D5CDD505-2E9C-101B-9397-08002B2CF9AE}" pid="8" name="MSIP_Label_42e67a54-274b-43d7-8098-b3ba5f50e576_ActionId">
    <vt:lpwstr>84ed569f-c51e-473f-a7b8-2bf707a7915f</vt:lpwstr>
  </op:property>
  <op:property fmtid="{D5CDD505-2E9C-101B-9397-08002B2CF9AE}" pid="9" name="MSIP_Label_42e67a54-274b-43d7-8098-b3ba5f50e576_Extended_MSFT_Method">
    <vt:lpwstr>Automatic</vt:lpwstr>
  </op:property>
  <op:property fmtid="{D5CDD505-2E9C-101B-9397-08002B2CF9AE}" pid="11" name="Client">
    <vt:lpwstr>0129004</vt:lpwstr>
  </op:property>
  <op:property fmtid="{D5CDD505-2E9C-101B-9397-08002B2CF9AE}" pid="12" name="Matter">
    <vt:lpwstr>0000002</vt:lpwstr>
  </op:property>
  <op:property fmtid="{D5CDD505-2E9C-101B-9397-08002B2CF9AE}" pid="13" name="cpDocRef">
    <vt:lpwstr>EUO1: 2002542127.3</vt:lpwstr>
  </op:property>
  <op:property fmtid="{D5CDD505-2E9C-101B-9397-08002B2CF9AE}" pid="14" name="cpClientMatter">
    <vt:lpwstr>0129004-0000002</vt:lpwstr>
  </op:property>
  <op:property fmtid="{D5CDD505-2E9C-101B-9397-08002B2CF9AE}" pid="15" name="cpCombinedRef">
    <vt:lpwstr>0129004-0000002 EUO1: 2002542127.3</vt:lpwstr>
  </op:property>
</op:Properties>
</file>