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C1DF8A" w14:textId="4FC61391" w:rsidR="00BD3D9F" w:rsidRPr="00012DFF" w:rsidRDefault="005778D7" w:rsidP="006570D5">
      <w:pPr>
        <w:spacing w:before="120" w:line="276" w:lineRule="auto"/>
        <w:jc w:val="right"/>
        <w:rPr>
          <w:rStyle w:val="Zdraznn"/>
          <w:szCs w:val="20"/>
          <w:lang w:val="en-US"/>
        </w:rPr>
      </w:pPr>
      <w:r>
        <w:rPr>
          <w:rStyle w:val="Zdraznn"/>
          <w:szCs w:val="20"/>
          <w:lang w:val="en-US"/>
        </w:rPr>
        <w:t>PRESS RELEASE</w:t>
      </w:r>
    </w:p>
    <w:p w14:paraId="7FE48F69" w14:textId="77777777" w:rsidR="00BD3D9F" w:rsidRPr="00012DFF" w:rsidRDefault="00BD3D9F" w:rsidP="00BD3D9F">
      <w:pPr>
        <w:spacing w:before="120" w:line="276" w:lineRule="auto"/>
        <w:jc w:val="center"/>
        <w:rPr>
          <w:rFonts w:cs="Arial"/>
          <w:b/>
          <w:bCs/>
          <w:kern w:val="28"/>
          <w:sz w:val="16"/>
          <w:szCs w:val="16"/>
          <w:lang w:val="en-US"/>
        </w:rPr>
      </w:pPr>
    </w:p>
    <w:p w14:paraId="2632F9A7" w14:textId="77777777" w:rsidR="00B7162E" w:rsidRPr="00012DFF" w:rsidRDefault="00B7162E" w:rsidP="00B7162E">
      <w:pPr>
        <w:spacing w:before="120" w:line="276" w:lineRule="auto"/>
        <w:jc w:val="center"/>
        <w:rPr>
          <w:rFonts w:cs="Arial"/>
          <w:b/>
          <w:bCs/>
          <w:kern w:val="28"/>
          <w:sz w:val="40"/>
          <w:szCs w:val="32"/>
          <w:lang w:val="en-US"/>
        </w:rPr>
      </w:pPr>
      <w:r w:rsidRPr="00012DFF">
        <w:rPr>
          <w:rFonts w:cs="Arial"/>
          <w:b/>
          <w:bCs/>
          <w:kern w:val="28"/>
          <w:sz w:val="32"/>
          <w:lang w:val="en-US"/>
        </w:rPr>
        <w:t>Colt CZ Group SE increased its total revenues by 51.1% to CZK 15 billion in</w:t>
      </w:r>
      <w:r w:rsidRPr="00012DFF">
        <w:rPr>
          <w:rFonts w:cs="Arial"/>
          <w:b/>
          <w:bCs/>
          <w:kern w:val="28"/>
          <w:sz w:val="40"/>
          <w:szCs w:val="32"/>
          <w:lang w:val="en-US"/>
        </w:rPr>
        <w:t xml:space="preserve"> </w:t>
      </w:r>
      <w:r w:rsidRPr="00012DFF">
        <w:rPr>
          <w:rFonts w:cs="Arial"/>
          <w:b/>
          <w:bCs/>
          <w:kern w:val="28"/>
          <w:sz w:val="32"/>
          <w:lang w:val="en-US"/>
        </w:rPr>
        <w:t xml:space="preserve">the first nine months of 2024 driven by both organic growth and acquisitions </w:t>
      </w:r>
    </w:p>
    <w:p w14:paraId="0CA03BCF" w14:textId="77777777" w:rsidR="00B7162E" w:rsidRPr="00012DFF" w:rsidRDefault="00B7162E" w:rsidP="00B7162E">
      <w:pPr>
        <w:spacing w:before="120" w:line="276" w:lineRule="auto"/>
        <w:jc w:val="center"/>
        <w:rPr>
          <w:rFonts w:cs="Calibri"/>
          <w:b/>
          <w:bCs/>
          <w:color w:val="000000" w:themeColor="text1"/>
          <w:szCs w:val="20"/>
          <w:lang w:val="en-US"/>
        </w:rPr>
      </w:pPr>
    </w:p>
    <w:p w14:paraId="7A233A41" w14:textId="77777777" w:rsidR="00B7162E" w:rsidRPr="00012DFF" w:rsidRDefault="00B7162E" w:rsidP="00B7162E">
      <w:pPr>
        <w:autoSpaceDE w:val="0"/>
        <w:autoSpaceDN w:val="0"/>
        <w:adjustRightInd w:val="0"/>
        <w:spacing w:before="120" w:line="276" w:lineRule="auto"/>
        <w:rPr>
          <w:rFonts w:cs="Calibri"/>
          <w:color w:val="000000" w:themeColor="text1"/>
          <w:szCs w:val="20"/>
          <w:lang w:val="en-US"/>
        </w:rPr>
      </w:pPr>
      <w:r w:rsidRPr="00012DFF">
        <w:rPr>
          <w:rFonts w:cs="Calibri"/>
          <w:b/>
          <w:bCs/>
          <w:color w:val="000000" w:themeColor="text1"/>
          <w:szCs w:val="20"/>
          <w:lang w:val="en-US"/>
        </w:rPr>
        <w:t>Prague (November 21, 2024)</w:t>
      </w:r>
      <w:r w:rsidRPr="00012DFF">
        <w:rPr>
          <w:rFonts w:cs="Calibri"/>
          <w:color w:val="000000" w:themeColor="text1"/>
          <w:szCs w:val="20"/>
          <w:lang w:val="en-US"/>
        </w:rPr>
        <w:t xml:space="preserve"> ― Colt CZ Group SE (“Colt CZ”, the “Group” or the “Company”) today announced its consolidated unaudited financial results for the first nine months of 2024 ending September 30.</w:t>
      </w:r>
    </w:p>
    <w:p w14:paraId="347EC973" w14:textId="77777777" w:rsidR="00B7162E" w:rsidRPr="00012DFF" w:rsidRDefault="00B7162E" w:rsidP="00B7162E">
      <w:pPr>
        <w:spacing w:before="240"/>
        <w:rPr>
          <w:rFonts w:cs="Calibri"/>
          <w:b/>
          <w:bCs/>
          <w:sz w:val="22"/>
          <w:szCs w:val="22"/>
          <w:lang w:val="en-US"/>
        </w:rPr>
      </w:pPr>
      <w:r w:rsidRPr="00012DFF">
        <w:rPr>
          <w:rFonts w:cs="Calibri"/>
          <w:b/>
          <w:bCs/>
          <w:sz w:val="22"/>
          <w:szCs w:val="22"/>
          <w:lang w:val="en-US"/>
        </w:rPr>
        <w:t>9M 2024 Key Financial Highlights:</w:t>
      </w:r>
    </w:p>
    <w:p w14:paraId="7F0301BD" w14:textId="77777777" w:rsidR="00B7162E" w:rsidRPr="00012DFF" w:rsidRDefault="00B7162E" w:rsidP="00B7162E">
      <w:pPr>
        <w:pStyle w:val="Odrazka1"/>
        <w:rPr>
          <w:rFonts w:eastAsia="Montserrat Light"/>
          <w:lang w:val="en-US"/>
        </w:rPr>
      </w:pPr>
      <w:r w:rsidRPr="00012DFF">
        <w:rPr>
          <w:rFonts w:eastAsia="Montserrat Light"/>
          <w:lang w:val="en-US"/>
        </w:rPr>
        <w:t xml:space="preserve">The Group’s revenues in the first nine months of 2024 amounted to CZK 14 971.9 million, up by 51.1% y-o-y, due to both the organic growth and the consolidation of Sellier &amp; Bellot. Geographically, </w:t>
      </w:r>
      <w:r>
        <w:rPr>
          <w:rFonts w:eastAsia="Montserrat Light"/>
          <w:lang w:val="en-US"/>
        </w:rPr>
        <w:t>the growth</w:t>
      </w:r>
      <w:r w:rsidRPr="00012DFF">
        <w:rPr>
          <w:rFonts w:eastAsia="Montserrat Light"/>
          <w:lang w:val="en-US"/>
        </w:rPr>
        <w:t xml:space="preserve"> w</w:t>
      </w:r>
      <w:r>
        <w:rPr>
          <w:rFonts w:eastAsia="Montserrat Light"/>
          <w:lang w:val="en-US"/>
        </w:rPr>
        <w:t>as</w:t>
      </w:r>
      <w:r w:rsidRPr="00012DFF">
        <w:rPr>
          <w:rFonts w:eastAsia="Montserrat Light"/>
          <w:lang w:val="en-US"/>
        </w:rPr>
        <w:t xml:space="preserve"> recorded mainly in Europe including the Czech Republic </w:t>
      </w:r>
      <w:proofErr w:type="gramStart"/>
      <w:r w:rsidRPr="00012DFF">
        <w:rPr>
          <w:rFonts w:eastAsia="Montserrat Light"/>
          <w:lang w:val="en-US"/>
        </w:rPr>
        <w:t>and also</w:t>
      </w:r>
      <w:proofErr w:type="gramEnd"/>
      <w:r w:rsidRPr="00012DFF">
        <w:rPr>
          <w:rFonts w:eastAsia="Montserrat Light"/>
          <w:lang w:val="en-US"/>
        </w:rPr>
        <w:t xml:space="preserve"> in the USA.</w:t>
      </w:r>
    </w:p>
    <w:p w14:paraId="31669C02" w14:textId="77777777" w:rsidR="00B7162E" w:rsidRPr="00012DFF" w:rsidRDefault="00B7162E" w:rsidP="00B7162E">
      <w:pPr>
        <w:pStyle w:val="Odrazka1"/>
        <w:rPr>
          <w:rFonts w:eastAsia="Montserrat Light"/>
          <w:lang w:val="en-US"/>
        </w:rPr>
      </w:pPr>
      <w:r w:rsidRPr="00012DFF">
        <w:rPr>
          <w:rFonts w:eastAsia="Montserrat Light"/>
          <w:lang w:val="en-US"/>
        </w:rPr>
        <w:t xml:space="preserve">Adjusted EBITDA </w:t>
      </w:r>
      <w:r>
        <w:rPr>
          <w:rFonts w:eastAsia="Montserrat Light"/>
          <w:lang w:val="en-US"/>
        </w:rPr>
        <w:t>for</w:t>
      </w:r>
      <w:r w:rsidRPr="00012DFF">
        <w:rPr>
          <w:rFonts w:eastAsia="Montserrat Light"/>
          <w:lang w:val="en-US"/>
        </w:rPr>
        <w:t xml:space="preserve"> the first nine months of 2024 reached CZK 3,020.9 million, which </w:t>
      </w:r>
      <w:r>
        <w:rPr>
          <w:rFonts w:eastAsia="Montserrat Light"/>
          <w:lang w:val="en-US"/>
        </w:rPr>
        <w:t>represents an increase of</w:t>
      </w:r>
      <w:r w:rsidRPr="00012DFF">
        <w:rPr>
          <w:rFonts w:eastAsia="Montserrat Light"/>
          <w:lang w:val="en-US"/>
        </w:rPr>
        <w:t xml:space="preserve"> 56.1% </w:t>
      </w:r>
      <w:r>
        <w:rPr>
          <w:rFonts w:eastAsia="Montserrat Light"/>
          <w:lang w:val="en-US"/>
        </w:rPr>
        <w:t>vs. the same period of 2023</w:t>
      </w:r>
      <w:r>
        <w:rPr>
          <w:rStyle w:val="Znakapoznpodarou"/>
          <w:rFonts w:eastAsia="Montserrat Light"/>
          <w:lang w:val="en-US"/>
        </w:rPr>
        <w:footnoteReference w:id="2"/>
      </w:r>
      <w:r>
        <w:rPr>
          <w:rFonts w:eastAsia="Montserrat Light"/>
          <w:lang w:val="en-US"/>
        </w:rPr>
        <w:t>.</w:t>
      </w:r>
      <w:r w:rsidRPr="00012DFF">
        <w:rPr>
          <w:rFonts w:eastAsia="Montserrat Light"/>
          <w:lang w:val="en-US"/>
        </w:rPr>
        <w:t xml:space="preserve"> The increase was </w:t>
      </w:r>
      <w:r>
        <w:rPr>
          <w:rFonts w:eastAsia="Montserrat Light"/>
          <w:lang w:val="en-US"/>
        </w:rPr>
        <w:t xml:space="preserve">driven by </w:t>
      </w:r>
      <w:r w:rsidRPr="00012DFF">
        <w:rPr>
          <w:rFonts w:eastAsia="Montserrat Light"/>
          <w:lang w:val="en-US"/>
        </w:rPr>
        <w:t xml:space="preserve">higher sales, a higher share of orders from the M/LE segment, and </w:t>
      </w:r>
      <w:r>
        <w:rPr>
          <w:rFonts w:eastAsia="Montserrat Light"/>
          <w:lang w:val="en-US"/>
        </w:rPr>
        <w:t xml:space="preserve">the </w:t>
      </w:r>
      <w:r w:rsidRPr="00012DFF">
        <w:rPr>
          <w:rFonts w:eastAsia="Montserrat Light"/>
          <w:lang w:val="en-US"/>
        </w:rPr>
        <w:t>consolidation of the Sellier &amp; Bellot</w:t>
      </w:r>
      <w:r>
        <w:rPr>
          <w:rFonts w:eastAsia="Montserrat Light"/>
          <w:lang w:val="en-US"/>
        </w:rPr>
        <w:t xml:space="preserve"> acquisition</w:t>
      </w:r>
      <w:r w:rsidRPr="00012DFF">
        <w:rPr>
          <w:lang w:val="en-US"/>
        </w:rPr>
        <w:t xml:space="preserve">. </w:t>
      </w:r>
    </w:p>
    <w:p w14:paraId="487BC561" w14:textId="77777777" w:rsidR="00B7162E" w:rsidRPr="00012DFF" w:rsidRDefault="00B7162E" w:rsidP="00B7162E">
      <w:pPr>
        <w:pStyle w:val="Odrazka1"/>
        <w:rPr>
          <w:rFonts w:eastAsia="Montserrat Light"/>
          <w:lang w:val="en-US"/>
        </w:rPr>
      </w:pPr>
      <w:r w:rsidRPr="00012DFF">
        <w:rPr>
          <w:rFonts w:eastAsia="Montserrat Light"/>
          <w:lang w:val="en-US"/>
        </w:rPr>
        <w:t xml:space="preserve">Adjusted net profit for the first nine months of 2024 reached CZK 1,292.7 million in total, which is 12.8% less compared to the same period in 2023. The decline in profit was primarily influenced by the result </w:t>
      </w:r>
      <w:r>
        <w:rPr>
          <w:rFonts w:eastAsia="Montserrat Light"/>
          <w:lang w:val="en-US"/>
        </w:rPr>
        <w:t>of</w:t>
      </w:r>
      <w:r w:rsidRPr="00012DFF">
        <w:rPr>
          <w:rFonts w:eastAsia="Montserrat Light"/>
          <w:lang w:val="en-US"/>
        </w:rPr>
        <w:t xml:space="preserve"> financial operations which was </w:t>
      </w:r>
      <w:r>
        <w:rPr>
          <w:rFonts w:eastAsia="Montserrat Light"/>
          <w:lang w:val="en-US"/>
        </w:rPr>
        <w:t>affected</w:t>
      </w:r>
      <w:r w:rsidRPr="00012DFF">
        <w:rPr>
          <w:rFonts w:eastAsia="Montserrat Light"/>
          <w:lang w:val="en-US"/>
        </w:rPr>
        <w:t xml:space="preserve"> mainly by high interest costs associated with acquisition financing.</w:t>
      </w:r>
    </w:p>
    <w:p w14:paraId="4F4FED1C" w14:textId="77777777" w:rsidR="00B7162E" w:rsidRPr="00012DFF" w:rsidRDefault="00B7162E" w:rsidP="00B7162E">
      <w:pPr>
        <w:pStyle w:val="Odrazka1"/>
        <w:ind w:left="993" w:hanging="426"/>
        <w:rPr>
          <w:rFonts w:eastAsia="Montserrat Light"/>
          <w:lang w:val="en-US"/>
        </w:rPr>
      </w:pPr>
      <w:r w:rsidRPr="00012DFF">
        <w:rPr>
          <w:rFonts w:eastAsia="Montserrat Light"/>
          <w:lang w:val="en-US"/>
        </w:rPr>
        <w:t>The number of firearms sold in the first nine months of 2024 increased by 3.2% compared to the same period in 2023 and reached 463 thousand units sold, thanks to the double-digit growth in the category of long guns.</w:t>
      </w:r>
    </w:p>
    <w:p w14:paraId="484820F7" w14:textId="77777777" w:rsidR="00B7162E" w:rsidRDefault="00B7162E" w:rsidP="00B7162E">
      <w:pPr>
        <w:rPr>
          <w:rFonts w:cs="Calibri"/>
          <w:i/>
          <w:iCs/>
          <w:color w:val="000000" w:themeColor="text1"/>
          <w:lang w:val="en-US"/>
        </w:rPr>
      </w:pPr>
    </w:p>
    <w:p w14:paraId="12257CC0" w14:textId="77777777" w:rsidR="00B7162E" w:rsidRPr="00012DFF" w:rsidRDefault="00B7162E" w:rsidP="00B7162E">
      <w:pPr>
        <w:rPr>
          <w:rFonts w:cs="Calibri"/>
          <w:i/>
          <w:iCs/>
          <w:color w:val="000000" w:themeColor="text1"/>
          <w:lang w:val="en-US"/>
        </w:rPr>
      </w:pPr>
      <w:r w:rsidRPr="62E0C7F7">
        <w:rPr>
          <w:rFonts w:cs="Calibri"/>
          <w:i/>
          <w:iCs/>
          <w:color w:val="000000" w:themeColor="text1"/>
          <w:lang w:val="en-US"/>
        </w:rPr>
        <w:t>“The results for the nine months of 2024 confirmed our expectations for the year 2024, namely an increase in our performance, both through organic growth and the consolidation of new acquisition of Sellier &amp; Bellot. We confirm our full year guidance for 2024. In October, we carried out a very successful accelerated bookbuilding of 3.9 million newly issued shares, which was the largest sale of shares through ABB on the Czech capital market since 2016. We are proud that investors want to participate in our business story and further growth of the Group.</w:t>
      </w:r>
      <w:r w:rsidRPr="62E0C7F7">
        <w:rPr>
          <w:rFonts w:cs="Calibri"/>
          <w:i/>
          <w:iCs/>
          <w:lang w:val="en-US"/>
        </w:rPr>
        <w:t xml:space="preserve">” </w:t>
      </w:r>
      <w:r w:rsidRPr="00012DFF">
        <w:rPr>
          <w:rFonts w:cs="Calibri"/>
          <w:lang w:val="en-US"/>
        </w:rPr>
        <w:t>commented</w:t>
      </w:r>
      <w:r w:rsidRPr="62E0C7F7">
        <w:rPr>
          <w:rFonts w:cs="Calibri"/>
          <w:i/>
          <w:iCs/>
          <w:lang w:val="en-US"/>
        </w:rPr>
        <w:t xml:space="preserve"> </w:t>
      </w:r>
      <w:r w:rsidRPr="00012DFF">
        <w:rPr>
          <w:rFonts w:cs="Calibri"/>
          <w:b/>
          <w:bCs/>
          <w:color w:val="000000" w:themeColor="text1"/>
          <w:shd w:val="clear" w:color="auto" w:fill="FFFFFF"/>
          <w:lang w:val="en-US"/>
        </w:rPr>
        <w:t>Jan Drahota</w:t>
      </w:r>
      <w:r w:rsidRPr="00012DFF">
        <w:rPr>
          <w:rFonts w:cs="Calibri"/>
          <w:b/>
          <w:bCs/>
          <w:color w:val="000000" w:themeColor="text1"/>
          <w:lang w:val="en-US"/>
        </w:rPr>
        <w:t>, CEO and Chairman of the Board of Directors of Colt CZ Group</w:t>
      </w:r>
      <w:r w:rsidRPr="00012DFF">
        <w:rPr>
          <w:rFonts w:cs="Calibri"/>
          <w:color w:val="000000" w:themeColor="text1"/>
          <w:lang w:val="en-US"/>
        </w:rPr>
        <w:t xml:space="preserve">. </w:t>
      </w:r>
    </w:p>
    <w:p w14:paraId="432F7D22" w14:textId="77777777" w:rsidR="00B7162E" w:rsidRPr="00012DFF" w:rsidRDefault="00B7162E" w:rsidP="00B7162E">
      <w:pPr>
        <w:spacing w:before="240" w:line="276" w:lineRule="auto"/>
        <w:rPr>
          <w:rFonts w:eastAsiaTheme="minorHAnsi" w:cs="Calibri"/>
          <w:b/>
          <w:bCs/>
          <w:szCs w:val="20"/>
          <w:lang w:val="en-US"/>
        </w:rPr>
      </w:pPr>
    </w:p>
    <w:p w14:paraId="0FE061B6" w14:textId="77777777" w:rsidR="00B7162E" w:rsidRPr="00012DFF" w:rsidRDefault="00B7162E" w:rsidP="00B7162E">
      <w:pPr>
        <w:spacing w:before="240" w:line="276" w:lineRule="auto"/>
        <w:rPr>
          <w:rFonts w:eastAsiaTheme="minorHAnsi" w:cs="Calibri"/>
          <w:b/>
          <w:bCs/>
          <w:szCs w:val="20"/>
          <w:lang w:val="en-US"/>
        </w:rPr>
      </w:pPr>
      <w:r w:rsidRPr="00012DFF">
        <w:rPr>
          <w:rFonts w:eastAsiaTheme="minorHAnsi" w:cs="Calibri"/>
          <w:b/>
          <w:bCs/>
          <w:szCs w:val="20"/>
          <w:lang w:val="en-US"/>
        </w:rPr>
        <w:lastRenderedPageBreak/>
        <w:t>Revenues</w:t>
      </w:r>
    </w:p>
    <w:p w14:paraId="2E114D39" w14:textId="77777777" w:rsidR="00B7162E" w:rsidRPr="00012DFF" w:rsidRDefault="00B7162E" w:rsidP="00B7162E">
      <w:pPr>
        <w:autoSpaceDE w:val="0"/>
        <w:autoSpaceDN w:val="0"/>
        <w:adjustRightInd w:val="0"/>
        <w:spacing w:before="120" w:line="276" w:lineRule="auto"/>
        <w:rPr>
          <w:rFonts w:eastAsiaTheme="minorHAnsi" w:cs="Calibri"/>
          <w:szCs w:val="20"/>
          <w:lang w:val="en-US"/>
        </w:rPr>
      </w:pPr>
      <w:r w:rsidRPr="00012DFF">
        <w:rPr>
          <w:rFonts w:eastAsiaTheme="minorHAnsi" w:cs="Calibri"/>
          <w:szCs w:val="20"/>
          <w:lang w:val="en-US"/>
        </w:rPr>
        <w:t>Compared with the results as of September 30, 2023, the revenues for the first nine months of 2024 went up by 51.1% to CZK 15.0 billion. The increase in sales was recorded in both the military and law enforcement segment and the commercial segment, as well as in all regions except Canada and Africa. Revenues were also affected by the consolidation of the acquisition of Sellier &amp; Bellot from May 16, 2024.</w:t>
      </w:r>
    </w:p>
    <w:p w14:paraId="68CC4FD5" w14:textId="77777777" w:rsidR="00B7162E" w:rsidRPr="00012DFF" w:rsidRDefault="00B7162E" w:rsidP="00B7162E">
      <w:pPr>
        <w:autoSpaceDE w:val="0"/>
        <w:autoSpaceDN w:val="0"/>
        <w:adjustRightInd w:val="0"/>
        <w:spacing w:before="120" w:line="276" w:lineRule="auto"/>
        <w:rPr>
          <w:rFonts w:eastAsiaTheme="minorHAnsi" w:cs="Calibri"/>
          <w:i/>
          <w:iCs/>
          <w:szCs w:val="20"/>
          <w:lang w:val="en-US"/>
        </w:rPr>
      </w:pPr>
      <w:r w:rsidRPr="00012DFF">
        <w:rPr>
          <w:rFonts w:eastAsiaTheme="minorHAnsi" w:cs="Calibri"/>
          <w:i/>
          <w:iCs/>
          <w:szCs w:val="20"/>
          <w:lang w:val="en-US"/>
        </w:rPr>
        <w:t>Revenues by regions</w:t>
      </w:r>
    </w:p>
    <w:p w14:paraId="011F8D34" w14:textId="77777777" w:rsidR="00B7162E" w:rsidRPr="00012DFF" w:rsidRDefault="00B7162E" w:rsidP="00B7162E">
      <w:pPr>
        <w:autoSpaceDE w:val="0"/>
        <w:autoSpaceDN w:val="0"/>
        <w:adjustRightInd w:val="0"/>
        <w:spacing w:before="120" w:line="276" w:lineRule="auto"/>
        <w:rPr>
          <w:rFonts w:eastAsiaTheme="minorHAnsi" w:cs="Calibri"/>
          <w:szCs w:val="20"/>
          <w:lang w:val="en-US"/>
        </w:rPr>
      </w:pPr>
      <w:r w:rsidRPr="00012DFF">
        <w:rPr>
          <w:rFonts w:eastAsiaTheme="minorHAnsi" w:cs="Calibri"/>
          <w:szCs w:val="20"/>
          <w:lang w:val="en-US"/>
        </w:rPr>
        <w:t>Regionally, the revenues generated in the Czech Republic went up y-o-y by 74.3% to CZK 2,990.2 million as of September 30, 2024</w:t>
      </w:r>
      <w:r>
        <w:rPr>
          <w:rFonts w:eastAsiaTheme="minorHAnsi" w:cs="Calibri"/>
          <w:szCs w:val="20"/>
          <w:lang w:val="en-US"/>
        </w:rPr>
        <w:t>.</w:t>
      </w:r>
      <w:r w:rsidRPr="00012DFF">
        <w:rPr>
          <w:rFonts w:eastAsiaTheme="minorHAnsi" w:cs="Calibri"/>
          <w:szCs w:val="20"/>
          <w:lang w:val="en-US"/>
        </w:rPr>
        <w:t xml:space="preserve"> Revenues generated in the United States increased y-o-y by 38.5% to CZK 6,347.1 million for the first nine months of 2024 thanks to the </w:t>
      </w:r>
      <w:r>
        <w:rPr>
          <w:rFonts w:eastAsiaTheme="minorHAnsi" w:cs="Calibri"/>
          <w:szCs w:val="20"/>
          <w:lang w:val="en-US"/>
        </w:rPr>
        <w:t xml:space="preserve">stabilization of the </w:t>
      </w:r>
      <w:r w:rsidRPr="00012DFF">
        <w:rPr>
          <w:rFonts w:eastAsiaTheme="minorHAnsi" w:cs="Calibri"/>
          <w:szCs w:val="20"/>
          <w:lang w:val="en-US"/>
        </w:rPr>
        <w:t xml:space="preserve">US commercial market and the </w:t>
      </w:r>
      <w:r w:rsidRPr="00012DFF">
        <w:rPr>
          <w:rFonts w:eastAsia="Montserrat Light"/>
          <w:lang w:val="en-US"/>
        </w:rPr>
        <w:t>consolidation of revenues of the new acquisition Sellier &amp; Bellot from 16 May 2024</w:t>
      </w:r>
      <w:r w:rsidRPr="00012DFF">
        <w:rPr>
          <w:rFonts w:eastAsiaTheme="minorHAnsi" w:cs="Calibri"/>
          <w:szCs w:val="20"/>
          <w:lang w:val="en-US"/>
        </w:rPr>
        <w:t>. The revenues in Canada reached CZK 759.7 billion in the first nine months of 2024, down by 44.9% y-o-y driven by</w:t>
      </w:r>
      <w:r>
        <w:rPr>
          <w:rFonts w:eastAsiaTheme="minorHAnsi" w:cs="Calibri"/>
          <w:szCs w:val="20"/>
          <w:lang w:val="en-US"/>
        </w:rPr>
        <w:t xml:space="preserve"> a</w:t>
      </w:r>
      <w:r w:rsidRPr="00012DFF">
        <w:rPr>
          <w:rFonts w:eastAsiaTheme="minorHAnsi" w:cs="Calibri"/>
          <w:szCs w:val="20"/>
          <w:lang w:val="en-US"/>
        </w:rPr>
        <w:t xml:space="preserve"> </w:t>
      </w:r>
      <w:r>
        <w:rPr>
          <w:rFonts w:eastAsiaTheme="minorHAnsi" w:cs="Calibri"/>
          <w:szCs w:val="20"/>
          <w:lang w:val="en-US"/>
        </w:rPr>
        <w:t>higher comparable base (</w:t>
      </w:r>
      <w:r w:rsidRPr="00012DFF">
        <w:rPr>
          <w:rFonts w:eastAsiaTheme="minorHAnsi" w:cs="Calibri"/>
          <w:szCs w:val="20"/>
          <w:lang w:val="en-US"/>
        </w:rPr>
        <w:t>one-off delivery to the Canadian government in connection with aid for Ukraine last year</w:t>
      </w:r>
      <w:r>
        <w:rPr>
          <w:rFonts w:eastAsiaTheme="minorHAnsi" w:cs="Calibri"/>
          <w:szCs w:val="20"/>
          <w:lang w:val="en-US"/>
        </w:rPr>
        <w:t>) and seasonality of deliveries to the local customer</w:t>
      </w:r>
      <w:r w:rsidRPr="00012DFF">
        <w:rPr>
          <w:rFonts w:eastAsiaTheme="minorHAnsi" w:cs="Calibri"/>
          <w:szCs w:val="20"/>
          <w:lang w:val="en-US"/>
        </w:rPr>
        <w:t xml:space="preserve">. Revenues generated in Europe (excluding the Czech Republic) increased y-o-y by 182.0% to CZK 3,642.1 million for the nine months ended September 30, 2024, due to </w:t>
      </w:r>
      <w:r>
        <w:rPr>
          <w:rFonts w:eastAsiaTheme="minorHAnsi" w:cs="Calibri"/>
          <w:szCs w:val="20"/>
          <w:lang w:val="en-US"/>
        </w:rPr>
        <w:t xml:space="preserve">the </w:t>
      </w:r>
      <w:r w:rsidRPr="00012DFF">
        <w:rPr>
          <w:rFonts w:eastAsiaTheme="minorHAnsi" w:cs="Calibri"/>
          <w:szCs w:val="20"/>
          <w:lang w:val="en-US"/>
        </w:rPr>
        <w:t>consolidation of revenues of acquisitions in the ammunition segment - Sellier &amp; Bellot from 16 May 2024</w:t>
      </w:r>
      <w:r>
        <w:rPr>
          <w:rFonts w:eastAsiaTheme="minorHAnsi" w:cs="Calibri"/>
          <w:szCs w:val="20"/>
          <w:lang w:val="en-US"/>
        </w:rPr>
        <w:t xml:space="preserve"> and </w:t>
      </w:r>
      <w:proofErr w:type="spellStart"/>
      <w:r>
        <w:rPr>
          <w:rFonts w:eastAsiaTheme="minorHAnsi" w:cs="Calibri"/>
          <w:szCs w:val="20"/>
          <w:lang w:val="en-US"/>
        </w:rPr>
        <w:t>swissAA</w:t>
      </w:r>
      <w:proofErr w:type="spellEnd"/>
      <w:r>
        <w:rPr>
          <w:rFonts w:eastAsiaTheme="minorHAnsi" w:cs="Calibri"/>
          <w:szCs w:val="20"/>
          <w:lang w:val="en-US"/>
        </w:rPr>
        <w:t xml:space="preserve"> in Switzerland</w:t>
      </w:r>
      <w:r w:rsidRPr="00012DFF">
        <w:rPr>
          <w:rFonts w:eastAsiaTheme="minorHAnsi" w:cs="Calibri"/>
          <w:szCs w:val="20"/>
          <w:lang w:val="en-US"/>
        </w:rPr>
        <w:t>.</w:t>
      </w:r>
    </w:p>
    <w:p w14:paraId="3278A9CE" w14:textId="77777777" w:rsidR="00B7162E" w:rsidRPr="00012DFF" w:rsidRDefault="00B7162E" w:rsidP="00B7162E">
      <w:pPr>
        <w:autoSpaceDE w:val="0"/>
        <w:autoSpaceDN w:val="0"/>
        <w:adjustRightInd w:val="0"/>
        <w:spacing w:before="120" w:line="276" w:lineRule="auto"/>
        <w:rPr>
          <w:rFonts w:eastAsiaTheme="minorEastAsia" w:cs="Calibri"/>
          <w:lang w:val="en-US"/>
        </w:rPr>
      </w:pPr>
      <w:bookmarkStart w:id="0" w:name="_Hlk67647981"/>
      <w:r w:rsidRPr="6DCAF097">
        <w:rPr>
          <w:rFonts w:eastAsiaTheme="minorEastAsia" w:cs="Calibri"/>
          <w:lang w:val="en-US"/>
        </w:rPr>
        <w:t>Revenues generated in Africa decreased by 26.6% to CZK 118.5 million for the nine months ended September 30, 2024, primarily due</w:t>
      </w:r>
      <w:r>
        <w:rPr>
          <w:rFonts w:eastAsiaTheme="minorEastAsia" w:cs="Calibri"/>
          <w:lang w:val="en-US"/>
        </w:rPr>
        <w:t xml:space="preserve"> to the</w:t>
      </w:r>
      <w:r w:rsidRPr="6DCAF097">
        <w:rPr>
          <w:rFonts w:eastAsiaTheme="minorEastAsia" w:cs="Calibri"/>
          <w:lang w:val="en-US"/>
        </w:rPr>
        <w:t xml:space="preserve"> lack of larger M&amp;LE contracts which tend to be relatively seasonal. Revenues generated in Asia increased y-o-y by 21.7% to CZK 590.9 million for the first nine months ended September 30, 2024. Colt CZ started reporting revenues for the new Latin America region, where sales for the first nine months of 2024 amounted to CZK 472.1 million, which is 198.3% more y-o-y. Revenues from sales to other parts of the world reached CZK 51.3 million in the first nine months of 2024, down by 62.9% y-o-y.</w:t>
      </w:r>
    </w:p>
    <w:p w14:paraId="5A171A3A" w14:textId="77777777" w:rsidR="00B7162E" w:rsidRPr="00012DFF" w:rsidRDefault="00B7162E" w:rsidP="00B7162E">
      <w:pPr>
        <w:pStyle w:val="DocText"/>
        <w:rPr>
          <w:rStyle w:val="Zdraznn"/>
          <w:szCs w:val="20"/>
          <w:lang w:val="en-US"/>
        </w:rPr>
      </w:pPr>
      <w:r w:rsidRPr="00012DFF">
        <w:rPr>
          <w:rStyle w:val="Zdraznn"/>
          <w:szCs w:val="20"/>
          <w:lang w:val="en-US"/>
        </w:rPr>
        <w:t>Breakdown of Group’s revenues for the reported periods by regions:</w:t>
      </w:r>
    </w:p>
    <w:tbl>
      <w:tblPr>
        <w:tblW w:w="4999" w:type="pct"/>
        <w:tblLook w:val="04A0" w:firstRow="1" w:lastRow="0" w:firstColumn="1" w:lastColumn="0" w:noHBand="0" w:noVBand="1"/>
      </w:tblPr>
      <w:tblGrid>
        <w:gridCol w:w="2696"/>
        <w:gridCol w:w="1773"/>
        <w:gridCol w:w="1443"/>
        <w:gridCol w:w="1177"/>
        <w:gridCol w:w="1697"/>
      </w:tblGrid>
      <w:tr w:rsidR="00B7162E" w:rsidRPr="00012DFF" w14:paraId="4F58A97D" w14:textId="77777777" w:rsidTr="00A073FC">
        <w:trPr>
          <w:trHeight w:val="428"/>
        </w:trPr>
        <w:tc>
          <w:tcPr>
            <w:tcW w:w="1534" w:type="pct"/>
          </w:tcPr>
          <w:p w14:paraId="435618F8" w14:textId="77777777" w:rsidR="00B7162E" w:rsidRPr="00012DFF" w:rsidRDefault="00B7162E" w:rsidP="00A073FC">
            <w:pPr>
              <w:pStyle w:val="ClientNormal"/>
              <w:spacing w:before="120"/>
              <w:rPr>
                <w:rFonts w:ascii="Atyp Colt CZ" w:eastAsia="Calibri" w:hAnsi="Atyp Colt CZ"/>
                <w:sz w:val="16"/>
                <w:szCs w:val="16"/>
                <w:lang w:val="en-US"/>
              </w:rPr>
            </w:pPr>
            <w:r w:rsidRPr="00012DFF">
              <w:rPr>
                <w:rFonts w:ascii="Atyp Colt CZ" w:eastAsia="Calibri" w:hAnsi="Atyp Colt CZ" w:cs="Calibri"/>
                <w:sz w:val="16"/>
                <w:szCs w:val="16"/>
                <w:lang w:val="en-US"/>
              </w:rPr>
              <w:t>(in CZK thousand)</w:t>
            </w:r>
          </w:p>
        </w:tc>
        <w:tc>
          <w:tcPr>
            <w:tcW w:w="1009" w:type="pct"/>
            <w:vAlign w:val="center"/>
          </w:tcPr>
          <w:p w14:paraId="5908C7D8" w14:textId="77777777" w:rsidR="00B7162E" w:rsidRPr="00012DFF" w:rsidRDefault="00B7162E" w:rsidP="00A073FC">
            <w:pPr>
              <w:pStyle w:val="ClientNormal"/>
              <w:spacing w:before="120"/>
              <w:jc w:val="right"/>
              <w:rPr>
                <w:rFonts w:ascii="Atyp Colt CZ" w:eastAsia="Calibri" w:hAnsi="Atyp Colt CZ"/>
                <w:sz w:val="16"/>
                <w:szCs w:val="16"/>
                <w:lang w:val="en-US"/>
              </w:rPr>
            </w:pPr>
            <w:r w:rsidRPr="00012DFF">
              <w:rPr>
                <w:rFonts w:ascii="Atyp Colt CZ" w:eastAsia="Calibri" w:hAnsi="Atyp Colt CZ"/>
                <w:sz w:val="16"/>
                <w:szCs w:val="16"/>
                <w:lang w:val="en-US"/>
              </w:rPr>
              <w:t>9M 2024</w:t>
            </w:r>
          </w:p>
        </w:tc>
        <w:tc>
          <w:tcPr>
            <w:tcW w:w="821" w:type="pct"/>
            <w:vAlign w:val="center"/>
          </w:tcPr>
          <w:p w14:paraId="40E79CEF" w14:textId="77777777" w:rsidR="00B7162E" w:rsidRPr="00012DFF" w:rsidRDefault="00B7162E" w:rsidP="00A073FC">
            <w:pPr>
              <w:pStyle w:val="ClientNormal"/>
              <w:spacing w:before="120"/>
              <w:jc w:val="right"/>
              <w:rPr>
                <w:rFonts w:ascii="Atyp Colt CZ" w:eastAsia="Calibri" w:hAnsi="Atyp Colt CZ"/>
                <w:sz w:val="16"/>
                <w:szCs w:val="16"/>
                <w:lang w:val="en-US"/>
              </w:rPr>
            </w:pPr>
            <w:r w:rsidRPr="00012DFF">
              <w:rPr>
                <w:rFonts w:ascii="Atyp Colt CZ" w:eastAsia="Calibri" w:hAnsi="Atyp Colt CZ"/>
                <w:sz w:val="16"/>
                <w:szCs w:val="16"/>
                <w:lang w:val="en-US"/>
              </w:rPr>
              <w:t>9M 2023</w:t>
            </w:r>
          </w:p>
        </w:tc>
        <w:tc>
          <w:tcPr>
            <w:tcW w:w="670" w:type="pct"/>
          </w:tcPr>
          <w:p w14:paraId="107C5325" w14:textId="77777777" w:rsidR="00B7162E" w:rsidRPr="00012DFF" w:rsidRDefault="00B7162E" w:rsidP="00A073FC">
            <w:pPr>
              <w:pStyle w:val="ClientNormal"/>
              <w:spacing w:before="120"/>
              <w:jc w:val="right"/>
              <w:rPr>
                <w:rFonts w:ascii="Atyp Colt CZ" w:eastAsia="Calibri" w:hAnsi="Atyp Colt CZ"/>
                <w:sz w:val="16"/>
                <w:szCs w:val="16"/>
                <w:lang w:val="en-US"/>
              </w:rPr>
            </w:pPr>
            <w:r w:rsidRPr="00012DFF">
              <w:rPr>
                <w:rFonts w:ascii="Atyp Colt CZ" w:eastAsia="Calibri" w:hAnsi="Atyp Colt CZ"/>
                <w:sz w:val="16"/>
                <w:szCs w:val="16"/>
                <w:lang w:val="en-US"/>
              </w:rPr>
              <w:t>Change in %</w:t>
            </w:r>
          </w:p>
        </w:tc>
        <w:tc>
          <w:tcPr>
            <w:tcW w:w="966" w:type="pct"/>
          </w:tcPr>
          <w:p w14:paraId="0C8E6F83" w14:textId="77777777" w:rsidR="00B7162E" w:rsidRPr="00012DFF" w:rsidRDefault="00B7162E" w:rsidP="00A073FC">
            <w:pPr>
              <w:pStyle w:val="ClientNormal"/>
              <w:spacing w:before="120"/>
              <w:jc w:val="right"/>
              <w:rPr>
                <w:rFonts w:ascii="Atyp Colt CZ" w:eastAsia="Calibri" w:hAnsi="Atyp Colt CZ"/>
                <w:sz w:val="16"/>
                <w:szCs w:val="16"/>
                <w:lang w:val="en-US"/>
              </w:rPr>
            </w:pPr>
            <w:r w:rsidRPr="00012DFF">
              <w:rPr>
                <w:rFonts w:ascii="Atyp Colt CZ" w:eastAsia="Calibri" w:hAnsi="Atyp Colt CZ"/>
                <w:sz w:val="16"/>
                <w:szCs w:val="16"/>
                <w:lang w:val="en-US"/>
              </w:rPr>
              <w:t>Share on total revenues in %</w:t>
            </w:r>
          </w:p>
        </w:tc>
      </w:tr>
      <w:tr w:rsidR="00B7162E" w:rsidRPr="00012DFF" w14:paraId="61AEEEBB" w14:textId="77777777" w:rsidTr="00A073FC">
        <w:trPr>
          <w:trHeight w:val="283"/>
        </w:trPr>
        <w:tc>
          <w:tcPr>
            <w:tcW w:w="1534" w:type="pct"/>
            <w:vAlign w:val="bottom"/>
          </w:tcPr>
          <w:p w14:paraId="176B0365" w14:textId="77777777" w:rsidR="00B7162E" w:rsidRPr="00012DFF" w:rsidRDefault="00B7162E" w:rsidP="00A073FC">
            <w:pPr>
              <w:pStyle w:val="ClientNormal"/>
              <w:tabs>
                <w:tab w:val="left" w:leader="dot" w:pos="5264"/>
              </w:tabs>
              <w:spacing w:before="120" w:line="260" w:lineRule="atLeast"/>
              <w:rPr>
                <w:rFonts w:ascii="Atyp Colt CZ" w:eastAsia="Calibri" w:hAnsi="Atyp Colt CZ"/>
                <w:sz w:val="16"/>
                <w:szCs w:val="16"/>
                <w:lang w:val="en-US"/>
              </w:rPr>
            </w:pPr>
            <w:r w:rsidRPr="00012DFF">
              <w:rPr>
                <w:rFonts w:ascii="Atyp Colt CZ" w:eastAsia="Calibri" w:hAnsi="Atyp Colt CZ" w:cs="Calibri"/>
                <w:sz w:val="16"/>
                <w:szCs w:val="16"/>
                <w:lang w:val="en-US"/>
              </w:rPr>
              <w:t>Czech Republic</w:t>
            </w:r>
          </w:p>
        </w:tc>
        <w:tc>
          <w:tcPr>
            <w:tcW w:w="1009" w:type="pct"/>
            <w:vAlign w:val="bottom"/>
          </w:tcPr>
          <w:p w14:paraId="7F6DEB24" w14:textId="77777777" w:rsidR="00B7162E" w:rsidRPr="00012DFF" w:rsidRDefault="00B7162E" w:rsidP="00A073FC">
            <w:pPr>
              <w:pStyle w:val="ClientNormal"/>
              <w:spacing w:before="120"/>
              <w:jc w:val="right"/>
              <w:rPr>
                <w:rFonts w:ascii="Atyp Colt CZ" w:hAnsi="Atyp Colt CZ" w:cs="Calibri"/>
                <w:sz w:val="16"/>
                <w:szCs w:val="16"/>
                <w:lang w:val="en-US"/>
              </w:rPr>
            </w:pPr>
            <w:r w:rsidRPr="00012DFF">
              <w:rPr>
                <w:rFonts w:ascii="Atyp Colt CZ" w:hAnsi="Atyp Colt CZ" w:cs="Calibri"/>
                <w:sz w:val="16"/>
                <w:szCs w:val="16"/>
                <w:lang w:val="en-US"/>
              </w:rPr>
              <w:t>2,990,177</w:t>
            </w:r>
          </w:p>
        </w:tc>
        <w:tc>
          <w:tcPr>
            <w:tcW w:w="821" w:type="pct"/>
            <w:vAlign w:val="center"/>
          </w:tcPr>
          <w:p w14:paraId="36E2BFC9" w14:textId="77777777" w:rsidR="00B7162E" w:rsidRPr="00012DFF" w:rsidRDefault="00B7162E" w:rsidP="00A073FC">
            <w:pPr>
              <w:pStyle w:val="ClientNormal"/>
              <w:spacing w:before="120"/>
              <w:jc w:val="right"/>
              <w:rPr>
                <w:rFonts w:ascii="Atyp Colt CZ" w:hAnsi="Atyp Colt CZ" w:cs="Calibri"/>
                <w:sz w:val="16"/>
                <w:szCs w:val="16"/>
                <w:lang w:val="en-US"/>
              </w:rPr>
            </w:pPr>
            <w:r w:rsidRPr="00012DFF">
              <w:rPr>
                <w:rFonts w:ascii="Atyp Colt CZ" w:hAnsi="Atyp Colt CZ" w:cs="Calibri"/>
                <w:sz w:val="16"/>
                <w:szCs w:val="16"/>
                <w:lang w:val="en-US"/>
              </w:rPr>
              <w:t>1,715,846</w:t>
            </w:r>
          </w:p>
        </w:tc>
        <w:tc>
          <w:tcPr>
            <w:tcW w:w="670" w:type="pct"/>
            <w:vAlign w:val="bottom"/>
          </w:tcPr>
          <w:p w14:paraId="33E457AA" w14:textId="77777777" w:rsidR="00B7162E" w:rsidRPr="00012DFF" w:rsidRDefault="00B7162E" w:rsidP="00A073FC">
            <w:pPr>
              <w:pStyle w:val="ClientNormal"/>
              <w:spacing w:before="120"/>
              <w:jc w:val="right"/>
              <w:rPr>
                <w:rFonts w:ascii="Atyp Colt CZ" w:hAnsi="Atyp Colt CZ" w:cs="Calibri"/>
                <w:sz w:val="16"/>
                <w:szCs w:val="16"/>
                <w:lang w:val="en-US"/>
              </w:rPr>
            </w:pPr>
            <w:r w:rsidRPr="00012DFF">
              <w:rPr>
                <w:rFonts w:ascii="Atyp Colt CZ" w:hAnsi="Atyp Colt CZ" w:cs="Calibri"/>
                <w:sz w:val="16"/>
                <w:szCs w:val="16"/>
                <w:lang w:val="en-US"/>
              </w:rPr>
              <w:t>74.3%</w:t>
            </w:r>
          </w:p>
        </w:tc>
        <w:tc>
          <w:tcPr>
            <w:tcW w:w="966" w:type="pct"/>
            <w:vAlign w:val="bottom"/>
          </w:tcPr>
          <w:p w14:paraId="5A03DFD6" w14:textId="77777777" w:rsidR="00B7162E" w:rsidRPr="00012DFF" w:rsidRDefault="00B7162E" w:rsidP="00A073FC">
            <w:pPr>
              <w:pStyle w:val="ClientNormal"/>
              <w:spacing w:before="120"/>
              <w:jc w:val="right"/>
              <w:rPr>
                <w:rFonts w:ascii="Atyp Colt CZ" w:hAnsi="Atyp Colt CZ" w:cs="Calibri"/>
                <w:i/>
                <w:iCs/>
                <w:color w:val="000000"/>
                <w:sz w:val="16"/>
                <w:szCs w:val="16"/>
                <w:lang w:val="en-US"/>
              </w:rPr>
            </w:pPr>
            <w:r w:rsidRPr="00012DFF">
              <w:rPr>
                <w:rFonts w:ascii="Atyp Colt CZ" w:hAnsi="Atyp Colt CZ" w:cs="Calibri"/>
                <w:i/>
                <w:iCs/>
                <w:color w:val="000000"/>
                <w:sz w:val="16"/>
                <w:szCs w:val="16"/>
                <w:lang w:val="en-US"/>
              </w:rPr>
              <w:t>20.0%</w:t>
            </w:r>
          </w:p>
        </w:tc>
      </w:tr>
      <w:tr w:rsidR="00B7162E" w:rsidRPr="00012DFF" w14:paraId="59E0B8E3" w14:textId="77777777" w:rsidTr="00A073FC">
        <w:trPr>
          <w:trHeight w:val="283"/>
        </w:trPr>
        <w:tc>
          <w:tcPr>
            <w:tcW w:w="1534" w:type="pct"/>
            <w:vAlign w:val="bottom"/>
          </w:tcPr>
          <w:p w14:paraId="0F095B8C" w14:textId="77777777" w:rsidR="00B7162E" w:rsidRPr="00012DFF" w:rsidRDefault="00B7162E" w:rsidP="00A073FC">
            <w:pPr>
              <w:pStyle w:val="ClientNormal"/>
              <w:tabs>
                <w:tab w:val="left" w:leader="dot" w:pos="5264"/>
              </w:tabs>
              <w:spacing w:before="120" w:line="260" w:lineRule="atLeast"/>
              <w:rPr>
                <w:rFonts w:ascii="Atyp Colt CZ" w:eastAsia="Calibri" w:hAnsi="Atyp Colt CZ"/>
                <w:sz w:val="16"/>
                <w:szCs w:val="16"/>
                <w:lang w:val="en-US"/>
              </w:rPr>
            </w:pPr>
            <w:r w:rsidRPr="00012DFF">
              <w:rPr>
                <w:rFonts w:ascii="Atyp Colt CZ" w:eastAsia="Calibri" w:hAnsi="Atyp Colt CZ" w:cs="Calibri"/>
                <w:sz w:val="16"/>
                <w:szCs w:val="16"/>
                <w:lang w:val="en-US"/>
              </w:rPr>
              <w:t>USA</w:t>
            </w:r>
          </w:p>
        </w:tc>
        <w:tc>
          <w:tcPr>
            <w:tcW w:w="1009" w:type="pct"/>
            <w:vAlign w:val="bottom"/>
          </w:tcPr>
          <w:p w14:paraId="7509B4A4" w14:textId="77777777" w:rsidR="00B7162E" w:rsidRPr="00012DFF" w:rsidRDefault="00B7162E" w:rsidP="00A073FC">
            <w:pPr>
              <w:pStyle w:val="ClientNormal"/>
              <w:spacing w:before="120"/>
              <w:jc w:val="right"/>
              <w:rPr>
                <w:rFonts w:ascii="Atyp Colt CZ" w:hAnsi="Atyp Colt CZ" w:cs="Calibri"/>
                <w:sz w:val="16"/>
                <w:szCs w:val="16"/>
                <w:lang w:val="en-US"/>
              </w:rPr>
            </w:pPr>
            <w:r w:rsidRPr="00012DFF">
              <w:rPr>
                <w:rFonts w:ascii="Atyp Colt CZ" w:hAnsi="Atyp Colt CZ" w:cs="Calibri"/>
                <w:sz w:val="16"/>
                <w:szCs w:val="16"/>
                <w:lang w:val="en-US"/>
              </w:rPr>
              <w:t>6,347,105</w:t>
            </w:r>
          </w:p>
        </w:tc>
        <w:tc>
          <w:tcPr>
            <w:tcW w:w="821" w:type="pct"/>
            <w:vAlign w:val="center"/>
          </w:tcPr>
          <w:p w14:paraId="1063ECEB" w14:textId="77777777" w:rsidR="00B7162E" w:rsidRPr="00012DFF" w:rsidRDefault="00B7162E" w:rsidP="00A073FC">
            <w:pPr>
              <w:pStyle w:val="ClientNormal"/>
              <w:spacing w:before="120"/>
              <w:jc w:val="right"/>
              <w:rPr>
                <w:rFonts w:ascii="Atyp Colt CZ" w:hAnsi="Atyp Colt CZ" w:cs="Calibri"/>
                <w:sz w:val="16"/>
                <w:szCs w:val="16"/>
                <w:lang w:val="en-US"/>
              </w:rPr>
            </w:pPr>
            <w:r w:rsidRPr="00012DFF">
              <w:rPr>
                <w:rFonts w:ascii="Atyp Colt CZ" w:hAnsi="Atyp Colt CZ" w:cs="Calibri"/>
                <w:sz w:val="16"/>
                <w:szCs w:val="16"/>
                <w:lang w:val="en-US"/>
              </w:rPr>
              <w:t>4,581,293</w:t>
            </w:r>
          </w:p>
        </w:tc>
        <w:tc>
          <w:tcPr>
            <w:tcW w:w="670" w:type="pct"/>
            <w:vAlign w:val="bottom"/>
          </w:tcPr>
          <w:p w14:paraId="6484B83A" w14:textId="77777777" w:rsidR="00B7162E" w:rsidRPr="00012DFF" w:rsidRDefault="00B7162E" w:rsidP="00A073FC">
            <w:pPr>
              <w:pStyle w:val="ClientNormal"/>
              <w:spacing w:before="120"/>
              <w:jc w:val="right"/>
              <w:rPr>
                <w:rFonts w:ascii="Atyp Colt CZ" w:hAnsi="Atyp Colt CZ" w:cs="Calibri"/>
                <w:sz w:val="16"/>
                <w:szCs w:val="16"/>
                <w:lang w:val="en-US"/>
              </w:rPr>
            </w:pPr>
            <w:r w:rsidRPr="00012DFF">
              <w:rPr>
                <w:rFonts w:ascii="Atyp Colt CZ" w:hAnsi="Atyp Colt CZ" w:cs="Calibri"/>
                <w:sz w:val="16"/>
                <w:szCs w:val="16"/>
                <w:lang w:val="en-US"/>
              </w:rPr>
              <w:t>38.5%</w:t>
            </w:r>
          </w:p>
        </w:tc>
        <w:tc>
          <w:tcPr>
            <w:tcW w:w="966" w:type="pct"/>
            <w:vAlign w:val="bottom"/>
          </w:tcPr>
          <w:p w14:paraId="529C8680" w14:textId="77777777" w:rsidR="00B7162E" w:rsidRPr="00012DFF" w:rsidRDefault="00B7162E" w:rsidP="00A073FC">
            <w:pPr>
              <w:pStyle w:val="ClientNormal"/>
              <w:spacing w:before="120"/>
              <w:jc w:val="right"/>
              <w:rPr>
                <w:rFonts w:ascii="Atyp Colt CZ" w:hAnsi="Atyp Colt CZ" w:cs="Calibri"/>
                <w:i/>
                <w:iCs/>
                <w:color w:val="000000"/>
                <w:sz w:val="16"/>
                <w:szCs w:val="16"/>
                <w:lang w:val="en-US"/>
              </w:rPr>
            </w:pPr>
            <w:r w:rsidRPr="00012DFF">
              <w:rPr>
                <w:rFonts w:ascii="Atyp Colt CZ" w:hAnsi="Atyp Colt CZ" w:cs="Calibri"/>
                <w:i/>
                <w:iCs/>
                <w:color w:val="000000"/>
                <w:sz w:val="16"/>
                <w:szCs w:val="16"/>
                <w:lang w:val="en-US"/>
              </w:rPr>
              <w:t>42.4%</w:t>
            </w:r>
          </w:p>
        </w:tc>
      </w:tr>
      <w:tr w:rsidR="00B7162E" w:rsidRPr="00012DFF" w14:paraId="6EE2EBDD" w14:textId="77777777" w:rsidTr="00A073FC">
        <w:trPr>
          <w:trHeight w:val="283"/>
        </w:trPr>
        <w:tc>
          <w:tcPr>
            <w:tcW w:w="1534" w:type="pct"/>
            <w:vAlign w:val="bottom"/>
          </w:tcPr>
          <w:p w14:paraId="1D21B4E2" w14:textId="77777777" w:rsidR="00B7162E" w:rsidRPr="00012DFF" w:rsidRDefault="00B7162E" w:rsidP="00A073FC">
            <w:pPr>
              <w:pStyle w:val="ClientNormal"/>
              <w:tabs>
                <w:tab w:val="left" w:leader="dot" w:pos="5264"/>
              </w:tabs>
              <w:spacing w:before="120" w:line="260" w:lineRule="atLeast"/>
              <w:rPr>
                <w:rFonts w:ascii="Atyp Colt CZ" w:eastAsia="Calibri" w:hAnsi="Atyp Colt CZ"/>
                <w:sz w:val="16"/>
                <w:szCs w:val="16"/>
                <w:lang w:val="en-US"/>
              </w:rPr>
            </w:pPr>
            <w:r w:rsidRPr="00012DFF">
              <w:rPr>
                <w:rFonts w:ascii="Atyp Colt CZ" w:eastAsia="Calibri" w:hAnsi="Atyp Colt CZ" w:cs="Calibri"/>
                <w:sz w:val="16"/>
                <w:szCs w:val="16"/>
                <w:lang w:val="en-US"/>
              </w:rPr>
              <w:t>Canada</w:t>
            </w:r>
          </w:p>
        </w:tc>
        <w:tc>
          <w:tcPr>
            <w:tcW w:w="1009" w:type="pct"/>
            <w:vAlign w:val="bottom"/>
          </w:tcPr>
          <w:p w14:paraId="31250277" w14:textId="77777777" w:rsidR="00B7162E" w:rsidRPr="00012DFF" w:rsidRDefault="00B7162E" w:rsidP="00A073FC">
            <w:pPr>
              <w:pStyle w:val="ClientNormal"/>
              <w:spacing w:before="120"/>
              <w:jc w:val="right"/>
              <w:rPr>
                <w:rFonts w:ascii="Atyp Colt CZ" w:hAnsi="Atyp Colt CZ" w:cs="Calibri"/>
                <w:sz w:val="16"/>
                <w:szCs w:val="16"/>
                <w:lang w:val="en-US"/>
              </w:rPr>
            </w:pPr>
            <w:r w:rsidRPr="00012DFF">
              <w:rPr>
                <w:rFonts w:ascii="Atyp Colt CZ" w:hAnsi="Atyp Colt CZ" w:cs="Calibri"/>
                <w:sz w:val="16"/>
                <w:szCs w:val="16"/>
                <w:lang w:val="en-US"/>
              </w:rPr>
              <w:t>759,673</w:t>
            </w:r>
          </w:p>
        </w:tc>
        <w:tc>
          <w:tcPr>
            <w:tcW w:w="821" w:type="pct"/>
            <w:vAlign w:val="center"/>
          </w:tcPr>
          <w:p w14:paraId="73DC6A31" w14:textId="77777777" w:rsidR="00B7162E" w:rsidRPr="00012DFF" w:rsidRDefault="00B7162E" w:rsidP="00A073FC">
            <w:pPr>
              <w:pStyle w:val="ClientNormal"/>
              <w:spacing w:before="120"/>
              <w:jc w:val="right"/>
              <w:rPr>
                <w:rFonts w:ascii="Atyp Colt CZ" w:hAnsi="Atyp Colt CZ" w:cs="Calibri"/>
                <w:sz w:val="16"/>
                <w:szCs w:val="16"/>
                <w:lang w:val="en-US"/>
              </w:rPr>
            </w:pPr>
            <w:r w:rsidRPr="00012DFF">
              <w:rPr>
                <w:rFonts w:ascii="Atyp Colt CZ" w:hAnsi="Atyp Colt CZ" w:cs="Calibri"/>
                <w:sz w:val="16"/>
                <w:szCs w:val="16"/>
                <w:lang w:val="en-US"/>
              </w:rPr>
              <w:t>1,378,353</w:t>
            </w:r>
          </w:p>
        </w:tc>
        <w:tc>
          <w:tcPr>
            <w:tcW w:w="670" w:type="pct"/>
            <w:vAlign w:val="bottom"/>
          </w:tcPr>
          <w:p w14:paraId="69E2C745" w14:textId="77777777" w:rsidR="00B7162E" w:rsidRPr="00012DFF" w:rsidRDefault="00B7162E" w:rsidP="00A073FC">
            <w:pPr>
              <w:pStyle w:val="ClientNormal"/>
              <w:spacing w:before="120"/>
              <w:jc w:val="right"/>
              <w:rPr>
                <w:rFonts w:ascii="Atyp Colt CZ" w:hAnsi="Atyp Colt CZ" w:cs="Calibri"/>
                <w:sz w:val="16"/>
                <w:szCs w:val="16"/>
                <w:lang w:val="en-US"/>
              </w:rPr>
            </w:pPr>
            <w:r w:rsidRPr="00012DFF">
              <w:rPr>
                <w:rFonts w:ascii="Atyp Colt CZ" w:hAnsi="Atyp Colt CZ" w:cs="Calibri"/>
                <w:sz w:val="16"/>
                <w:szCs w:val="16"/>
                <w:lang w:val="en-US"/>
              </w:rPr>
              <w:t>(44.9%)</w:t>
            </w:r>
          </w:p>
        </w:tc>
        <w:tc>
          <w:tcPr>
            <w:tcW w:w="966" w:type="pct"/>
            <w:vAlign w:val="bottom"/>
          </w:tcPr>
          <w:p w14:paraId="3C038A71" w14:textId="77777777" w:rsidR="00B7162E" w:rsidRPr="00012DFF" w:rsidRDefault="00B7162E" w:rsidP="00A073FC">
            <w:pPr>
              <w:pStyle w:val="ClientNormal"/>
              <w:spacing w:before="120"/>
              <w:jc w:val="right"/>
              <w:rPr>
                <w:rFonts w:ascii="Atyp Colt CZ" w:hAnsi="Atyp Colt CZ" w:cs="Calibri"/>
                <w:i/>
                <w:iCs/>
                <w:color w:val="000000"/>
                <w:sz w:val="16"/>
                <w:szCs w:val="16"/>
                <w:lang w:val="en-US"/>
              </w:rPr>
            </w:pPr>
            <w:r w:rsidRPr="00012DFF">
              <w:rPr>
                <w:rFonts w:ascii="Atyp Colt CZ" w:hAnsi="Atyp Colt CZ" w:cs="Calibri"/>
                <w:i/>
                <w:iCs/>
                <w:color w:val="000000"/>
                <w:sz w:val="16"/>
                <w:szCs w:val="16"/>
                <w:lang w:val="en-US"/>
              </w:rPr>
              <w:t>5.1%</w:t>
            </w:r>
          </w:p>
        </w:tc>
      </w:tr>
      <w:tr w:rsidR="00B7162E" w:rsidRPr="00012DFF" w14:paraId="5DF7D1E3" w14:textId="77777777" w:rsidTr="00A073FC">
        <w:trPr>
          <w:trHeight w:val="283"/>
        </w:trPr>
        <w:tc>
          <w:tcPr>
            <w:tcW w:w="1534" w:type="pct"/>
            <w:vAlign w:val="bottom"/>
          </w:tcPr>
          <w:p w14:paraId="127F5CD2" w14:textId="77777777" w:rsidR="00B7162E" w:rsidRPr="00012DFF" w:rsidRDefault="00B7162E" w:rsidP="00A073FC">
            <w:pPr>
              <w:pStyle w:val="ClientNormal"/>
              <w:tabs>
                <w:tab w:val="left" w:leader="dot" w:pos="5264"/>
              </w:tabs>
              <w:spacing w:before="120" w:line="260" w:lineRule="atLeast"/>
              <w:rPr>
                <w:rFonts w:ascii="Atyp Colt CZ" w:eastAsia="Calibri" w:hAnsi="Atyp Colt CZ"/>
                <w:sz w:val="16"/>
                <w:szCs w:val="16"/>
                <w:lang w:val="en-US"/>
              </w:rPr>
            </w:pPr>
            <w:r w:rsidRPr="00012DFF">
              <w:rPr>
                <w:rFonts w:ascii="Atyp Colt CZ" w:eastAsia="Calibri" w:hAnsi="Atyp Colt CZ" w:cs="Calibri"/>
                <w:sz w:val="16"/>
                <w:szCs w:val="16"/>
                <w:lang w:val="en-US"/>
              </w:rPr>
              <w:t>Europe (excl. the Czech Republic)</w:t>
            </w:r>
          </w:p>
        </w:tc>
        <w:tc>
          <w:tcPr>
            <w:tcW w:w="1009" w:type="pct"/>
            <w:vAlign w:val="bottom"/>
          </w:tcPr>
          <w:p w14:paraId="3B18AE8B" w14:textId="77777777" w:rsidR="00B7162E" w:rsidRPr="00012DFF" w:rsidRDefault="00B7162E" w:rsidP="00A073FC">
            <w:pPr>
              <w:pStyle w:val="ClientNormal"/>
              <w:spacing w:before="120"/>
              <w:jc w:val="right"/>
              <w:rPr>
                <w:rFonts w:ascii="Atyp Colt CZ" w:hAnsi="Atyp Colt CZ" w:cs="Calibri"/>
                <w:sz w:val="16"/>
                <w:szCs w:val="16"/>
                <w:lang w:val="en-US"/>
              </w:rPr>
            </w:pPr>
            <w:r w:rsidRPr="00012DFF">
              <w:rPr>
                <w:rFonts w:ascii="Atyp Colt CZ" w:hAnsi="Atyp Colt CZ" w:cs="Calibri"/>
                <w:sz w:val="16"/>
                <w:szCs w:val="16"/>
                <w:lang w:val="en-US"/>
              </w:rPr>
              <w:t>3,642,076</w:t>
            </w:r>
          </w:p>
        </w:tc>
        <w:tc>
          <w:tcPr>
            <w:tcW w:w="821" w:type="pct"/>
            <w:vAlign w:val="bottom"/>
          </w:tcPr>
          <w:p w14:paraId="3CECE48F" w14:textId="77777777" w:rsidR="00B7162E" w:rsidRPr="00012DFF" w:rsidRDefault="00B7162E" w:rsidP="00A073FC">
            <w:pPr>
              <w:pStyle w:val="ClientNormal"/>
              <w:spacing w:before="120"/>
              <w:jc w:val="right"/>
              <w:rPr>
                <w:rFonts w:ascii="Atyp Colt CZ" w:hAnsi="Atyp Colt CZ" w:cs="Calibri"/>
                <w:sz w:val="16"/>
                <w:szCs w:val="16"/>
                <w:lang w:val="en-US"/>
              </w:rPr>
            </w:pPr>
            <w:r w:rsidRPr="00012DFF">
              <w:rPr>
                <w:rFonts w:ascii="Atyp Colt CZ" w:hAnsi="Atyp Colt CZ" w:cs="Calibri"/>
                <w:sz w:val="16"/>
                <w:szCs w:val="16"/>
                <w:lang w:val="en-US"/>
              </w:rPr>
              <w:t>1,291,582</w:t>
            </w:r>
          </w:p>
        </w:tc>
        <w:tc>
          <w:tcPr>
            <w:tcW w:w="670" w:type="pct"/>
            <w:vAlign w:val="bottom"/>
          </w:tcPr>
          <w:p w14:paraId="67092886" w14:textId="77777777" w:rsidR="00B7162E" w:rsidRPr="00012DFF" w:rsidRDefault="00B7162E" w:rsidP="00A073FC">
            <w:pPr>
              <w:pStyle w:val="ClientNormal"/>
              <w:spacing w:before="120"/>
              <w:jc w:val="right"/>
              <w:rPr>
                <w:rFonts w:ascii="Atyp Colt CZ" w:hAnsi="Atyp Colt CZ" w:cs="Calibri"/>
                <w:sz w:val="16"/>
                <w:szCs w:val="16"/>
                <w:lang w:val="en-US"/>
              </w:rPr>
            </w:pPr>
            <w:r w:rsidRPr="00012DFF">
              <w:rPr>
                <w:rFonts w:ascii="Atyp Colt CZ" w:hAnsi="Atyp Colt CZ" w:cs="Calibri"/>
                <w:sz w:val="16"/>
                <w:szCs w:val="16"/>
                <w:lang w:val="en-US"/>
              </w:rPr>
              <w:t>182.0%</w:t>
            </w:r>
          </w:p>
        </w:tc>
        <w:tc>
          <w:tcPr>
            <w:tcW w:w="966" w:type="pct"/>
            <w:vAlign w:val="bottom"/>
          </w:tcPr>
          <w:p w14:paraId="65649011" w14:textId="77777777" w:rsidR="00B7162E" w:rsidRPr="00012DFF" w:rsidRDefault="00B7162E" w:rsidP="00A073FC">
            <w:pPr>
              <w:pStyle w:val="ClientNormal"/>
              <w:spacing w:before="120"/>
              <w:jc w:val="right"/>
              <w:rPr>
                <w:rFonts w:ascii="Atyp Colt CZ" w:hAnsi="Atyp Colt CZ" w:cs="Calibri"/>
                <w:i/>
                <w:iCs/>
                <w:color w:val="000000"/>
                <w:sz w:val="16"/>
                <w:szCs w:val="16"/>
                <w:lang w:val="en-US"/>
              </w:rPr>
            </w:pPr>
            <w:r w:rsidRPr="00012DFF">
              <w:rPr>
                <w:rFonts w:ascii="Atyp Colt CZ" w:hAnsi="Atyp Colt CZ" w:cs="Calibri"/>
                <w:i/>
                <w:iCs/>
                <w:color w:val="000000"/>
                <w:sz w:val="16"/>
                <w:szCs w:val="16"/>
                <w:lang w:val="en-US"/>
              </w:rPr>
              <w:t>24.3%</w:t>
            </w:r>
          </w:p>
        </w:tc>
      </w:tr>
      <w:tr w:rsidR="00B7162E" w:rsidRPr="00012DFF" w14:paraId="37224818" w14:textId="77777777" w:rsidTr="00A073FC">
        <w:trPr>
          <w:trHeight w:val="283"/>
        </w:trPr>
        <w:tc>
          <w:tcPr>
            <w:tcW w:w="1534" w:type="pct"/>
            <w:vAlign w:val="bottom"/>
          </w:tcPr>
          <w:p w14:paraId="073BD905" w14:textId="77777777" w:rsidR="00B7162E" w:rsidRPr="00012DFF" w:rsidRDefault="00B7162E" w:rsidP="00A073FC">
            <w:pPr>
              <w:pStyle w:val="ClientNormal"/>
              <w:tabs>
                <w:tab w:val="left" w:leader="dot" w:pos="5264"/>
              </w:tabs>
              <w:spacing w:before="120" w:line="260" w:lineRule="atLeast"/>
              <w:rPr>
                <w:rFonts w:ascii="Atyp Colt CZ" w:eastAsia="Calibri" w:hAnsi="Atyp Colt CZ"/>
                <w:sz w:val="16"/>
                <w:szCs w:val="16"/>
                <w:lang w:val="en-US"/>
              </w:rPr>
            </w:pPr>
            <w:r w:rsidRPr="00012DFF">
              <w:rPr>
                <w:rFonts w:ascii="Atyp Colt CZ" w:eastAsia="Calibri" w:hAnsi="Atyp Colt CZ" w:cs="Calibri"/>
                <w:sz w:val="16"/>
                <w:szCs w:val="16"/>
                <w:lang w:val="en-US"/>
              </w:rPr>
              <w:t>Africa</w:t>
            </w:r>
          </w:p>
        </w:tc>
        <w:tc>
          <w:tcPr>
            <w:tcW w:w="1009" w:type="pct"/>
            <w:vAlign w:val="bottom"/>
          </w:tcPr>
          <w:p w14:paraId="1E014958" w14:textId="77777777" w:rsidR="00B7162E" w:rsidRPr="00012DFF" w:rsidRDefault="00B7162E" w:rsidP="00A073FC">
            <w:pPr>
              <w:pStyle w:val="ClientNormal"/>
              <w:spacing w:before="120"/>
              <w:jc w:val="right"/>
              <w:rPr>
                <w:rFonts w:ascii="Atyp Colt CZ" w:hAnsi="Atyp Colt CZ" w:cs="Calibri"/>
                <w:sz w:val="16"/>
                <w:szCs w:val="16"/>
                <w:lang w:val="en-US"/>
              </w:rPr>
            </w:pPr>
            <w:r w:rsidRPr="00012DFF">
              <w:rPr>
                <w:rFonts w:ascii="Atyp Colt CZ" w:hAnsi="Atyp Colt CZ" w:cs="Calibri"/>
                <w:sz w:val="16"/>
                <w:szCs w:val="16"/>
                <w:lang w:val="en-US"/>
              </w:rPr>
              <w:t>118,517</w:t>
            </w:r>
          </w:p>
        </w:tc>
        <w:tc>
          <w:tcPr>
            <w:tcW w:w="821" w:type="pct"/>
            <w:vAlign w:val="center"/>
          </w:tcPr>
          <w:p w14:paraId="3267751C" w14:textId="77777777" w:rsidR="00B7162E" w:rsidRPr="00012DFF" w:rsidRDefault="00B7162E" w:rsidP="00A073FC">
            <w:pPr>
              <w:pStyle w:val="ClientNormal"/>
              <w:spacing w:before="120"/>
              <w:jc w:val="right"/>
              <w:rPr>
                <w:rFonts w:ascii="Atyp Colt CZ" w:hAnsi="Atyp Colt CZ" w:cs="Calibri"/>
                <w:sz w:val="16"/>
                <w:szCs w:val="16"/>
                <w:lang w:val="en-US"/>
              </w:rPr>
            </w:pPr>
            <w:r w:rsidRPr="00012DFF">
              <w:rPr>
                <w:rFonts w:ascii="Atyp Colt CZ" w:hAnsi="Atyp Colt CZ" w:cs="Calibri"/>
                <w:sz w:val="16"/>
                <w:szCs w:val="16"/>
                <w:lang w:val="en-US"/>
              </w:rPr>
              <w:t>161,512</w:t>
            </w:r>
          </w:p>
        </w:tc>
        <w:tc>
          <w:tcPr>
            <w:tcW w:w="670" w:type="pct"/>
            <w:vAlign w:val="bottom"/>
          </w:tcPr>
          <w:p w14:paraId="4604793B" w14:textId="77777777" w:rsidR="00B7162E" w:rsidRPr="00012DFF" w:rsidRDefault="00B7162E" w:rsidP="00A073FC">
            <w:pPr>
              <w:pStyle w:val="ClientNormal"/>
              <w:spacing w:before="120"/>
              <w:jc w:val="right"/>
              <w:rPr>
                <w:rFonts w:ascii="Atyp Colt CZ" w:hAnsi="Atyp Colt CZ" w:cs="Calibri"/>
                <w:sz w:val="16"/>
                <w:szCs w:val="16"/>
                <w:lang w:val="en-US"/>
              </w:rPr>
            </w:pPr>
            <w:r w:rsidRPr="00012DFF">
              <w:rPr>
                <w:rFonts w:ascii="Atyp Colt CZ" w:hAnsi="Atyp Colt CZ" w:cs="Calibri"/>
                <w:sz w:val="16"/>
                <w:szCs w:val="16"/>
                <w:lang w:val="en-US"/>
              </w:rPr>
              <w:t>(26.6%)</w:t>
            </w:r>
          </w:p>
        </w:tc>
        <w:tc>
          <w:tcPr>
            <w:tcW w:w="966" w:type="pct"/>
            <w:vAlign w:val="bottom"/>
          </w:tcPr>
          <w:p w14:paraId="34AB9FE8" w14:textId="77777777" w:rsidR="00B7162E" w:rsidRPr="00012DFF" w:rsidRDefault="00B7162E" w:rsidP="00A073FC">
            <w:pPr>
              <w:pStyle w:val="ClientNormal"/>
              <w:spacing w:before="120"/>
              <w:jc w:val="right"/>
              <w:rPr>
                <w:rFonts w:ascii="Atyp Colt CZ" w:hAnsi="Atyp Colt CZ" w:cs="Calibri"/>
                <w:i/>
                <w:iCs/>
                <w:color w:val="000000"/>
                <w:sz w:val="16"/>
                <w:szCs w:val="16"/>
                <w:lang w:val="en-US"/>
              </w:rPr>
            </w:pPr>
            <w:r w:rsidRPr="00012DFF">
              <w:rPr>
                <w:rFonts w:ascii="Atyp Colt CZ" w:hAnsi="Atyp Colt CZ" w:cs="Calibri"/>
                <w:i/>
                <w:iCs/>
                <w:color w:val="000000"/>
                <w:sz w:val="16"/>
                <w:szCs w:val="16"/>
                <w:lang w:val="en-US"/>
              </w:rPr>
              <w:t>0.8%</w:t>
            </w:r>
          </w:p>
        </w:tc>
      </w:tr>
      <w:tr w:rsidR="00B7162E" w:rsidRPr="00012DFF" w14:paraId="1122E0A2" w14:textId="77777777" w:rsidTr="00A073FC">
        <w:trPr>
          <w:trHeight w:val="283"/>
        </w:trPr>
        <w:tc>
          <w:tcPr>
            <w:tcW w:w="1534" w:type="pct"/>
            <w:vAlign w:val="bottom"/>
          </w:tcPr>
          <w:p w14:paraId="39349F21" w14:textId="77777777" w:rsidR="00B7162E" w:rsidRPr="00012DFF" w:rsidRDefault="00B7162E" w:rsidP="00A073FC">
            <w:pPr>
              <w:pStyle w:val="ClientNormal"/>
              <w:tabs>
                <w:tab w:val="left" w:leader="dot" w:pos="5264"/>
              </w:tabs>
              <w:spacing w:before="120" w:line="260" w:lineRule="atLeast"/>
              <w:rPr>
                <w:rFonts w:ascii="Atyp Colt CZ" w:eastAsia="Calibri" w:hAnsi="Atyp Colt CZ"/>
                <w:sz w:val="16"/>
                <w:szCs w:val="16"/>
                <w:lang w:val="en-US"/>
              </w:rPr>
            </w:pPr>
            <w:r w:rsidRPr="00012DFF">
              <w:rPr>
                <w:rFonts w:ascii="Atyp Colt CZ" w:eastAsia="Calibri" w:hAnsi="Atyp Colt CZ" w:cs="Calibri"/>
                <w:sz w:val="16"/>
                <w:szCs w:val="16"/>
                <w:lang w:val="en-US"/>
              </w:rPr>
              <w:t>Asia</w:t>
            </w:r>
          </w:p>
        </w:tc>
        <w:tc>
          <w:tcPr>
            <w:tcW w:w="1009" w:type="pct"/>
            <w:vAlign w:val="bottom"/>
          </w:tcPr>
          <w:p w14:paraId="32C989BC" w14:textId="77777777" w:rsidR="00B7162E" w:rsidRPr="00012DFF" w:rsidRDefault="00B7162E" w:rsidP="00A073FC">
            <w:pPr>
              <w:pStyle w:val="ClientNormal"/>
              <w:spacing w:before="120"/>
              <w:jc w:val="right"/>
              <w:rPr>
                <w:rFonts w:ascii="Atyp Colt CZ" w:hAnsi="Atyp Colt CZ" w:cs="Calibri"/>
                <w:sz w:val="16"/>
                <w:szCs w:val="16"/>
                <w:lang w:val="en-US"/>
              </w:rPr>
            </w:pPr>
            <w:r w:rsidRPr="00012DFF">
              <w:rPr>
                <w:rFonts w:ascii="Atyp Colt CZ" w:hAnsi="Atyp Colt CZ" w:cs="Calibri"/>
                <w:sz w:val="16"/>
                <w:szCs w:val="16"/>
                <w:lang w:val="en-US"/>
              </w:rPr>
              <w:t>590,900</w:t>
            </w:r>
          </w:p>
        </w:tc>
        <w:tc>
          <w:tcPr>
            <w:tcW w:w="821" w:type="pct"/>
            <w:vAlign w:val="center"/>
          </w:tcPr>
          <w:p w14:paraId="78B5B57A" w14:textId="77777777" w:rsidR="00B7162E" w:rsidRPr="00012DFF" w:rsidRDefault="00B7162E" w:rsidP="00A073FC">
            <w:pPr>
              <w:pStyle w:val="ClientNormal"/>
              <w:spacing w:before="120"/>
              <w:jc w:val="right"/>
              <w:rPr>
                <w:rFonts w:ascii="Atyp Colt CZ" w:hAnsi="Atyp Colt CZ" w:cs="Calibri"/>
                <w:sz w:val="16"/>
                <w:szCs w:val="16"/>
                <w:lang w:val="en-US"/>
              </w:rPr>
            </w:pPr>
            <w:r w:rsidRPr="00012DFF">
              <w:rPr>
                <w:rFonts w:ascii="Atyp Colt CZ" w:hAnsi="Atyp Colt CZ" w:cs="Calibri"/>
                <w:sz w:val="16"/>
                <w:szCs w:val="16"/>
                <w:lang w:val="en-US"/>
              </w:rPr>
              <w:t>485,462</w:t>
            </w:r>
          </w:p>
        </w:tc>
        <w:tc>
          <w:tcPr>
            <w:tcW w:w="670" w:type="pct"/>
            <w:vAlign w:val="bottom"/>
          </w:tcPr>
          <w:p w14:paraId="6E0014C2" w14:textId="77777777" w:rsidR="00B7162E" w:rsidRPr="00012DFF" w:rsidRDefault="00B7162E" w:rsidP="00A073FC">
            <w:pPr>
              <w:pStyle w:val="ClientNormal"/>
              <w:spacing w:before="120"/>
              <w:jc w:val="right"/>
              <w:rPr>
                <w:rFonts w:ascii="Atyp Colt CZ" w:hAnsi="Atyp Colt CZ" w:cs="Calibri"/>
                <w:sz w:val="16"/>
                <w:szCs w:val="16"/>
                <w:lang w:val="en-US"/>
              </w:rPr>
            </w:pPr>
            <w:r w:rsidRPr="00012DFF">
              <w:rPr>
                <w:rFonts w:ascii="Atyp Colt CZ" w:hAnsi="Atyp Colt CZ" w:cs="Calibri"/>
                <w:sz w:val="16"/>
                <w:szCs w:val="16"/>
                <w:lang w:val="en-US"/>
              </w:rPr>
              <w:t>21.7%</w:t>
            </w:r>
          </w:p>
        </w:tc>
        <w:tc>
          <w:tcPr>
            <w:tcW w:w="966" w:type="pct"/>
            <w:vAlign w:val="bottom"/>
          </w:tcPr>
          <w:p w14:paraId="14295808" w14:textId="77777777" w:rsidR="00B7162E" w:rsidRPr="00012DFF" w:rsidRDefault="00B7162E" w:rsidP="00A073FC">
            <w:pPr>
              <w:pStyle w:val="ClientNormal"/>
              <w:spacing w:before="120"/>
              <w:jc w:val="right"/>
              <w:rPr>
                <w:rFonts w:ascii="Atyp Colt CZ" w:hAnsi="Atyp Colt CZ" w:cs="Calibri"/>
                <w:i/>
                <w:iCs/>
                <w:color w:val="000000"/>
                <w:sz w:val="16"/>
                <w:szCs w:val="16"/>
                <w:lang w:val="en-US"/>
              </w:rPr>
            </w:pPr>
            <w:r w:rsidRPr="00012DFF">
              <w:rPr>
                <w:rFonts w:ascii="Atyp Colt CZ" w:hAnsi="Atyp Colt CZ" w:cs="Calibri"/>
                <w:i/>
                <w:iCs/>
                <w:color w:val="000000"/>
                <w:sz w:val="16"/>
                <w:szCs w:val="16"/>
                <w:lang w:val="en-US"/>
              </w:rPr>
              <w:t>3.9%</w:t>
            </w:r>
          </w:p>
        </w:tc>
      </w:tr>
      <w:tr w:rsidR="00B7162E" w:rsidRPr="00012DFF" w14:paraId="78B3E0E1" w14:textId="77777777" w:rsidTr="00A073FC">
        <w:trPr>
          <w:trHeight w:val="283"/>
        </w:trPr>
        <w:tc>
          <w:tcPr>
            <w:tcW w:w="1534" w:type="pct"/>
            <w:vAlign w:val="bottom"/>
          </w:tcPr>
          <w:p w14:paraId="02106366" w14:textId="77777777" w:rsidR="00B7162E" w:rsidRPr="00012DFF" w:rsidRDefault="00B7162E" w:rsidP="00A073FC">
            <w:pPr>
              <w:pStyle w:val="ClientNormal"/>
              <w:tabs>
                <w:tab w:val="left" w:leader="dot" w:pos="5264"/>
              </w:tabs>
              <w:spacing w:before="120" w:line="260" w:lineRule="atLeast"/>
              <w:rPr>
                <w:rFonts w:ascii="Atyp Colt CZ" w:eastAsia="Calibri" w:hAnsi="Atyp Colt CZ" w:cs="Calibri"/>
                <w:sz w:val="16"/>
                <w:szCs w:val="16"/>
                <w:lang w:val="en-US"/>
              </w:rPr>
            </w:pPr>
            <w:r w:rsidRPr="00012DFF">
              <w:rPr>
                <w:rFonts w:ascii="Atyp Colt CZ" w:eastAsia="Calibri" w:hAnsi="Atyp Colt CZ" w:cs="Calibri"/>
                <w:sz w:val="16"/>
                <w:szCs w:val="16"/>
                <w:lang w:val="en-US"/>
              </w:rPr>
              <w:t>LATAM</w:t>
            </w:r>
          </w:p>
        </w:tc>
        <w:tc>
          <w:tcPr>
            <w:tcW w:w="1009" w:type="pct"/>
            <w:vAlign w:val="bottom"/>
          </w:tcPr>
          <w:p w14:paraId="49C1EA8A" w14:textId="77777777" w:rsidR="00B7162E" w:rsidRPr="00012DFF" w:rsidRDefault="00B7162E" w:rsidP="00A073FC">
            <w:pPr>
              <w:pStyle w:val="ClientNormal"/>
              <w:spacing w:before="120"/>
              <w:jc w:val="right"/>
              <w:rPr>
                <w:rFonts w:ascii="Atyp Colt CZ" w:hAnsi="Atyp Colt CZ" w:cs="Calibri"/>
                <w:sz w:val="16"/>
                <w:szCs w:val="16"/>
                <w:lang w:val="en-US"/>
              </w:rPr>
            </w:pPr>
            <w:r w:rsidRPr="00012DFF">
              <w:rPr>
                <w:rFonts w:ascii="Atyp Colt CZ" w:hAnsi="Atyp Colt CZ" w:cs="Calibri"/>
                <w:sz w:val="16"/>
                <w:szCs w:val="16"/>
                <w:lang w:val="en-US"/>
              </w:rPr>
              <w:t>472,133</w:t>
            </w:r>
          </w:p>
        </w:tc>
        <w:tc>
          <w:tcPr>
            <w:tcW w:w="821" w:type="pct"/>
            <w:vAlign w:val="center"/>
          </w:tcPr>
          <w:p w14:paraId="2F4F899A" w14:textId="77777777" w:rsidR="00B7162E" w:rsidRPr="00012DFF" w:rsidRDefault="00B7162E" w:rsidP="00A073FC">
            <w:pPr>
              <w:pStyle w:val="ClientNormal"/>
              <w:spacing w:before="120"/>
              <w:jc w:val="right"/>
              <w:rPr>
                <w:rFonts w:ascii="Atyp Colt CZ" w:eastAsia="Times New Roman" w:hAnsi="Atyp Colt CZ" w:cs="Calibri"/>
                <w:color w:val="000000"/>
                <w:sz w:val="16"/>
                <w:szCs w:val="16"/>
                <w:lang w:val="en-US" w:eastAsia="cs-CZ"/>
              </w:rPr>
            </w:pPr>
            <w:r w:rsidRPr="00012DFF">
              <w:rPr>
                <w:rFonts w:ascii="Atyp Colt CZ" w:eastAsia="Times New Roman" w:hAnsi="Atyp Colt CZ" w:cs="Calibri"/>
                <w:color w:val="000000"/>
                <w:sz w:val="16"/>
                <w:szCs w:val="16"/>
                <w:lang w:val="en-US" w:eastAsia="cs-CZ"/>
              </w:rPr>
              <w:t>158,249</w:t>
            </w:r>
          </w:p>
        </w:tc>
        <w:tc>
          <w:tcPr>
            <w:tcW w:w="670" w:type="pct"/>
            <w:vAlign w:val="bottom"/>
          </w:tcPr>
          <w:p w14:paraId="195E9EC8" w14:textId="77777777" w:rsidR="00B7162E" w:rsidRPr="00012DFF" w:rsidRDefault="00B7162E" w:rsidP="00A073FC">
            <w:pPr>
              <w:pStyle w:val="ClientNormal"/>
              <w:spacing w:before="120"/>
              <w:jc w:val="right"/>
              <w:rPr>
                <w:rFonts w:ascii="Atyp Colt CZ" w:hAnsi="Atyp Colt CZ" w:cs="Calibri"/>
                <w:sz w:val="16"/>
                <w:szCs w:val="16"/>
                <w:lang w:val="en-US"/>
              </w:rPr>
            </w:pPr>
            <w:r w:rsidRPr="00012DFF">
              <w:rPr>
                <w:rFonts w:ascii="Atyp Colt CZ" w:hAnsi="Atyp Colt CZ" w:cs="Calibri"/>
                <w:sz w:val="16"/>
                <w:szCs w:val="16"/>
                <w:lang w:val="en-US"/>
              </w:rPr>
              <w:t>198.3%</w:t>
            </w:r>
          </w:p>
        </w:tc>
        <w:tc>
          <w:tcPr>
            <w:tcW w:w="966" w:type="pct"/>
            <w:vAlign w:val="bottom"/>
          </w:tcPr>
          <w:p w14:paraId="5DFE1D38" w14:textId="77777777" w:rsidR="00B7162E" w:rsidRPr="00012DFF" w:rsidRDefault="00B7162E" w:rsidP="00A073FC">
            <w:pPr>
              <w:pStyle w:val="ClientNormal"/>
              <w:spacing w:before="120"/>
              <w:jc w:val="right"/>
              <w:rPr>
                <w:rFonts w:ascii="Atyp Colt CZ" w:hAnsi="Atyp Colt CZ" w:cs="Calibri"/>
                <w:i/>
                <w:iCs/>
                <w:color w:val="000000"/>
                <w:sz w:val="16"/>
                <w:szCs w:val="16"/>
                <w:lang w:val="en-US"/>
              </w:rPr>
            </w:pPr>
            <w:r w:rsidRPr="00012DFF">
              <w:rPr>
                <w:rFonts w:ascii="Atyp Colt CZ" w:hAnsi="Atyp Colt CZ" w:cs="Calibri"/>
                <w:i/>
                <w:iCs/>
                <w:color w:val="000000"/>
                <w:sz w:val="16"/>
                <w:szCs w:val="16"/>
                <w:lang w:val="en-US"/>
              </w:rPr>
              <w:t>3.2%</w:t>
            </w:r>
          </w:p>
        </w:tc>
      </w:tr>
      <w:tr w:rsidR="00B7162E" w:rsidRPr="00012DFF" w14:paraId="6613D80D" w14:textId="77777777" w:rsidTr="00A073FC">
        <w:trPr>
          <w:trHeight w:val="283"/>
        </w:trPr>
        <w:tc>
          <w:tcPr>
            <w:tcW w:w="1534" w:type="pct"/>
            <w:vAlign w:val="bottom"/>
          </w:tcPr>
          <w:p w14:paraId="27C71B64" w14:textId="77777777" w:rsidR="00B7162E" w:rsidRPr="00012DFF" w:rsidRDefault="00B7162E" w:rsidP="00A073FC">
            <w:pPr>
              <w:pStyle w:val="ClientNormal"/>
              <w:tabs>
                <w:tab w:val="left" w:leader="dot" w:pos="5264"/>
              </w:tabs>
              <w:spacing w:before="120" w:line="260" w:lineRule="atLeast"/>
              <w:rPr>
                <w:rFonts w:ascii="Atyp Colt CZ" w:eastAsia="Calibri" w:hAnsi="Atyp Colt CZ"/>
                <w:sz w:val="16"/>
                <w:szCs w:val="16"/>
                <w:lang w:val="en-US"/>
              </w:rPr>
            </w:pPr>
            <w:r w:rsidRPr="00012DFF">
              <w:rPr>
                <w:rFonts w:ascii="Atyp Colt CZ" w:eastAsia="Calibri" w:hAnsi="Atyp Colt CZ" w:cs="Calibri"/>
                <w:sz w:val="16"/>
                <w:szCs w:val="16"/>
                <w:lang w:val="en-US"/>
              </w:rPr>
              <w:t>Other</w:t>
            </w:r>
          </w:p>
        </w:tc>
        <w:tc>
          <w:tcPr>
            <w:tcW w:w="1009" w:type="pct"/>
            <w:vAlign w:val="center"/>
          </w:tcPr>
          <w:p w14:paraId="1C72845A" w14:textId="77777777" w:rsidR="00B7162E" w:rsidRPr="00012DFF" w:rsidRDefault="00B7162E" w:rsidP="00A073FC">
            <w:pPr>
              <w:pStyle w:val="ClientNormal"/>
              <w:pBdr>
                <w:bottom w:val="single" w:sz="4" w:space="1" w:color="auto"/>
              </w:pBdr>
              <w:spacing w:before="120"/>
              <w:jc w:val="right"/>
              <w:rPr>
                <w:rFonts w:ascii="Atyp Colt CZ" w:hAnsi="Atyp Colt CZ" w:cs="Calibri"/>
                <w:sz w:val="16"/>
                <w:szCs w:val="16"/>
                <w:lang w:val="en-US"/>
              </w:rPr>
            </w:pPr>
            <w:r w:rsidRPr="00012DFF">
              <w:rPr>
                <w:rFonts w:ascii="Atyp Colt CZ" w:hAnsi="Atyp Colt CZ" w:cs="Calibri"/>
                <w:sz w:val="16"/>
                <w:szCs w:val="16"/>
                <w:lang w:val="en-US"/>
              </w:rPr>
              <w:t>51,314</w:t>
            </w:r>
          </w:p>
        </w:tc>
        <w:tc>
          <w:tcPr>
            <w:tcW w:w="821" w:type="pct"/>
            <w:vAlign w:val="center"/>
          </w:tcPr>
          <w:p w14:paraId="704C2CEF" w14:textId="77777777" w:rsidR="00B7162E" w:rsidRPr="00012DFF" w:rsidRDefault="00B7162E" w:rsidP="00A073FC">
            <w:pPr>
              <w:pStyle w:val="ClientNormal"/>
              <w:pBdr>
                <w:bottom w:val="single" w:sz="4" w:space="1" w:color="auto"/>
              </w:pBdr>
              <w:spacing w:before="120"/>
              <w:jc w:val="right"/>
              <w:rPr>
                <w:rFonts w:ascii="Atyp Colt CZ" w:hAnsi="Atyp Colt CZ" w:cs="Calibri"/>
                <w:sz w:val="16"/>
                <w:szCs w:val="16"/>
                <w:lang w:val="en-US"/>
              </w:rPr>
            </w:pPr>
            <w:r w:rsidRPr="00012DFF">
              <w:rPr>
                <w:rFonts w:ascii="Atyp Colt CZ" w:hAnsi="Atyp Colt CZ" w:cs="Calibri"/>
                <w:sz w:val="16"/>
                <w:szCs w:val="16"/>
                <w:lang w:val="en-US"/>
              </w:rPr>
              <w:t>138,249</w:t>
            </w:r>
          </w:p>
        </w:tc>
        <w:tc>
          <w:tcPr>
            <w:tcW w:w="670" w:type="pct"/>
            <w:vAlign w:val="bottom"/>
          </w:tcPr>
          <w:p w14:paraId="3564CE87" w14:textId="77777777" w:rsidR="00B7162E" w:rsidRPr="00012DFF" w:rsidRDefault="00B7162E" w:rsidP="00A073FC">
            <w:pPr>
              <w:pStyle w:val="ClientNormal"/>
              <w:pBdr>
                <w:bottom w:val="single" w:sz="4" w:space="1" w:color="auto"/>
              </w:pBdr>
              <w:spacing w:before="120"/>
              <w:jc w:val="right"/>
              <w:rPr>
                <w:rFonts w:ascii="Atyp Colt CZ" w:hAnsi="Atyp Colt CZ" w:cs="Calibri"/>
                <w:color w:val="000000"/>
                <w:sz w:val="16"/>
                <w:szCs w:val="16"/>
                <w:lang w:val="en-US"/>
              </w:rPr>
            </w:pPr>
            <w:r w:rsidRPr="00012DFF">
              <w:rPr>
                <w:rFonts w:ascii="Atyp Colt CZ" w:hAnsi="Atyp Colt CZ" w:cs="Calibri"/>
                <w:color w:val="000000"/>
                <w:sz w:val="16"/>
                <w:szCs w:val="16"/>
                <w:lang w:val="en-US"/>
              </w:rPr>
              <w:t>(62.9%)</w:t>
            </w:r>
          </w:p>
        </w:tc>
        <w:tc>
          <w:tcPr>
            <w:tcW w:w="966" w:type="pct"/>
            <w:vAlign w:val="bottom"/>
          </w:tcPr>
          <w:p w14:paraId="7753D4B3" w14:textId="77777777" w:rsidR="00B7162E" w:rsidRPr="00012DFF" w:rsidRDefault="00B7162E" w:rsidP="00A073FC">
            <w:pPr>
              <w:pStyle w:val="ClientNormal"/>
              <w:pBdr>
                <w:bottom w:val="single" w:sz="4" w:space="1" w:color="auto"/>
              </w:pBdr>
              <w:spacing w:before="120"/>
              <w:jc w:val="right"/>
              <w:rPr>
                <w:rFonts w:ascii="Atyp Colt CZ" w:hAnsi="Atyp Colt CZ" w:cs="Calibri"/>
                <w:i/>
                <w:iCs/>
                <w:color w:val="000000"/>
                <w:sz w:val="16"/>
                <w:szCs w:val="16"/>
                <w:lang w:val="en-US"/>
              </w:rPr>
            </w:pPr>
            <w:r w:rsidRPr="00012DFF">
              <w:rPr>
                <w:rFonts w:ascii="Atyp Colt CZ" w:hAnsi="Atyp Colt CZ" w:cs="Calibri"/>
                <w:i/>
                <w:iCs/>
                <w:color w:val="000000"/>
                <w:sz w:val="16"/>
                <w:szCs w:val="16"/>
                <w:lang w:val="en-US"/>
              </w:rPr>
              <w:t>0.3%</w:t>
            </w:r>
          </w:p>
        </w:tc>
      </w:tr>
      <w:tr w:rsidR="00B7162E" w:rsidRPr="00012DFF" w14:paraId="72FAC484" w14:textId="77777777" w:rsidTr="00A073FC">
        <w:trPr>
          <w:trHeight w:val="283"/>
        </w:trPr>
        <w:tc>
          <w:tcPr>
            <w:tcW w:w="1534" w:type="pct"/>
            <w:vAlign w:val="bottom"/>
          </w:tcPr>
          <w:p w14:paraId="225462D6" w14:textId="77777777" w:rsidR="00B7162E" w:rsidRPr="00012DFF" w:rsidRDefault="00B7162E" w:rsidP="00A073FC">
            <w:pPr>
              <w:pStyle w:val="ClientNormal"/>
              <w:tabs>
                <w:tab w:val="left" w:leader="dot" w:pos="5264"/>
              </w:tabs>
              <w:spacing w:before="120" w:line="260" w:lineRule="atLeast"/>
              <w:rPr>
                <w:rFonts w:ascii="Atyp Colt CZ" w:eastAsia="Calibri" w:hAnsi="Atyp Colt CZ"/>
                <w:b/>
                <w:bCs/>
                <w:sz w:val="16"/>
                <w:szCs w:val="16"/>
                <w:lang w:val="en-US"/>
              </w:rPr>
            </w:pPr>
            <w:r w:rsidRPr="00012DFF">
              <w:rPr>
                <w:rFonts w:ascii="Atyp Colt CZ" w:eastAsia="Calibri" w:hAnsi="Atyp Colt CZ" w:cs="Calibri"/>
                <w:b/>
                <w:bCs/>
                <w:sz w:val="16"/>
                <w:szCs w:val="16"/>
                <w:lang w:val="en-US"/>
              </w:rPr>
              <w:t>Total</w:t>
            </w:r>
          </w:p>
        </w:tc>
        <w:tc>
          <w:tcPr>
            <w:tcW w:w="1009" w:type="pct"/>
            <w:vAlign w:val="center"/>
          </w:tcPr>
          <w:p w14:paraId="1A6065BD" w14:textId="77777777" w:rsidR="00B7162E" w:rsidRPr="00012DFF" w:rsidRDefault="00B7162E" w:rsidP="00A073FC">
            <w:pPr>
              <w:pStyle w:val="ClientNormal"/>
              <w:pBdr>
                <w:bottom w:val="double" w:sz="4" w:space="1" w:color="auto"/>
              </w:pBdr>
              <w:spacing w:before="120"/>
              <w:jc w:val="right"/>
              <w:rPr>
                <w:rFonts w:ascii="Atyp Colt CZ" w:hAnsi="Atyp Colt CZ" w:cs="Calibri"/>
                <w:b/>
                <w:bCs/>
                <w:sz w:val="16"/>
                <w:szCs w:val="16"/>
                <w:lang w:val="en-US"/>
              </w:rPr>
            </w:pPr>
            <w:r w:rsidRPr="00012DFF">
              <w:rPr>
                <w:rFonts w:ascii="Atyp Colt CZ" w:hAnsi="Atyp Colt CZ" w:cs="Calibri"/>
                <w:b/>
                <w:bCs/>
                <w:sz w:val="16"/>
                <w:szCs w:val="16"/>
                <w:lang w:val="en-US"/>
              </w:rPr>
              <w:t>14,971,895</w:t>
            </w:r>
          </w:p>
        </w:tc>
        <w:tc>
          <w:tcPr>
            <w:tcW w:w="821" w:type="pct"/>
            <w:vAlign w:val="center"/>
          </w:tcPr>
          <w:p w14:paraId="7F2BCDC3" w14:textId="77777777" w:rsidR="00B7162E" w:rsidRPr="00012DFF" w:rsidRDefault="00B7162E" w:rsidP="00A073FC">
            <w:pPr>
              <w:pStyle w:val="ClientNormal"/>
              <w:pBdr>
                <w:bottom w:val="double" w:sz="4" w:space="1" w:color="auto"/>
              </w:pBdr>
              <w:spacing w:before="120"/>
              <w:jc w:val="right"/>
              <w:rPr>
                <w:rFonts w:ascii="Atyp Colt CZ" w:hAnsi="Atyp Colt CZ" w:cs="Calibri"/>
                <w:b/>
                <w:bCs/>
                <w:sz w:val="16"/>
                <w:szCs w:val="16"/>
                <w:lang w:val="en-US"/>
              </w:rPr>
            </w:pPr>
            <w:r w:rsidRPr="00012DFF">
              <w:rPr>
                <w:rFonts w:ascii="Atyp Colt CZ" w:hAnsi="Atyp Colt CZ" w:cs="Calibri"/>
                <w:b/>
                <w:bCs/>
                <w:sz w:val="16"/>
                <w:szCs w:val="16"/>
                <w:lang w:val="en-US"/>
              </w:rPr>
              <w:t>9,910,546</w:t>
            </w:r>
          </w:p>
        </w:tc>
        <w:tc>
          <w:tcPr>
            <w:tcW w:w="670" w:type="pct"/>
          </w:tcPr>
          <w:p w14:paraId="4E81A454" w14:textId="77777777" w:rsidR="00B7162E" w:rsidRPr="00012DFF" w:rsidRDefault="00B7162E" w:rsidP="00A073FC">
            <w:pPr>
              <w:pStyle w:val="ClientNormal"/>
              <w:pBdr>
                <w:bottom w:val="double" w:sz="4" w:space="1" w:color="auto"/>
              </w:pBdr>
              <w:spacing w:before="120"/>
              <w:jc w:val="right"/>
              <w:rPr>
                <w:rFonts w:ascii="Atyp Colt CZ" w:hAnsi="Atyp Colt CZ" w:cs="Calibri"/>
                <w:b/>
                <w:bCs/>
                <w:color w:val="000000"/>
                <w:sz w:val="16"/>
                <w:szCs w:val="16"/>
                <w:lang w:val="en-US"/>
              </w:rPr>
            </w:pPr>
            <w:r w:rsidRPr="00012DFF">
              <w:rPr>
                <w:rFonts w:ascii="Atyp Colt CZ" w:hAnsi="Atyp Colt CZ"/>
                <w:b/>
                <w:bCs/>
                <w:sz w:val="16"/>
                <w:szCs w:val="16"/>
                <w:lang w:val="en-US"/>
              </w:rPr>
              <w:t>51.1%</w:t>
            </w:r>
          </w:p>
        </w:tc>
        <w:tc>
          <w:tcPr>
            <w:tcW w:w="966" w:type="pct"/>
            <w:vAlign w:val="center"/>
          </w:tcPr>
          <w:p w14:paraId="5E8A1955" w14:textId="77777777" w:rsidR="00B7162E" w:rsidRPr="00012DFF" w:rsidRDefault="00B7162E" w:rsidP="00A073FC">
            <w:pPr>
              <w:pStyle w:val="ClientNormal"/>
              <w:pBdr>
                <w:bottom w:val="double" w:sz="4" w:space="1" w:color="auto"/>
              </w:pBdr>
              <w:spacing w:before="120"/>
              <w:jc w:val="right"/>
              <w:rPr>
                <w:rFonts w:ascii="Atyp Colt CZ" w:hAnsi="Atyp Colt CZ" w:cs="Calibri"/>
                <w:b/>
                <w:bCs/>
                <w:i/>
                <w:iCs/>
                <w:color w:val="000000"/>
                <w:sz w:val="16"/>
                <w:szCs w:val="16"/>
                <w:lang w:val="en-US"/>
              </w:rPr>
            </w:pPr>
            <w:r w:rsidRPr="00012DFF">
              <w:rPr>
                <w:rFonts w:ascii="Atyp Colt CZ" w:hAnsi="Atyp Colt CZ" w:cs="Calibri"/>
                <w:b/>
                <w:bCs/>
                <w:i/>
                <w:iCs/>
                <w:color w:val="000000"/>
                <w:sz w:val="16"/>
                <w:szCs w:val="16"/>
                <w:lang w:val="en-US"/>
              </w:rPr>
              <w:t>100.0%</w:t>
            </w:r>
          </w:p>
        </w:tc>
      </w:tr>
      <w:bookmarkEnd w:id="0"/>
    </w:tbl>
    <w:p w14:paraId="1951F8B6" w14:textId="77777777" w:rsidR="00B7162E" w:rsidRPr="00012DFF" w:rsidRDefault="00B7162E" w:rsidP="00B7162E">
      <w:pPr>
        <w:spacing w:before="120" w:after="0" w:line="259" w:lineRule="auto"/>
        <w:rPr>
          <w:rFonts w:eastAsia="Calibri"/>
          <w:szCs w:val="20"/>
          <w:lang w:val="en-US"/>
        </w:rPr>
      </w:pPr>
    </w:p>
    <w:p w14:paraId="78BF2239" w14:textId="77777777" w:rsidR="00B7162E" w:rsidRPr="00012DFF" w:rsidRDefault="00B7162E" w:rsidP="00B7162E">
      <w:pPr>
        <w:pStyle w:val="Odstavecseseznamem"/>
        <w:numPr>
          <w:ilvl w:val="0"/>
          <w:numId w:val="23"/>
        </w:numPr>
        <w:spacing w:before="240" w:after="0"/>
        <w:rPr>
          <w:rFonts w:eastAsia="Calibri"/>
          <w:i/>
          <w:iCs/>
          <w:sz w:val="22"/>
          <w:szCs w:val="22"/>
          <w:lang w:val="en-US"/>
        </w:rPr>
      </w:pPr>
      <w:r w:rsidRPr="00012DFF">
        <w:rPr>
          <w:rFonts w:eastAsia="Calibri"/>
          <w:i/>
          <w:iCs/>
          <w:sz w:val="22"/>
          <w:szCs w:val="22"/>
          <w:lang w:val="en-US"/>
        </w:rPr>
        <w:t>Firearms and accessories segment</w:t>
      </w:r>
    </w:p>
    <w:p w14:paraId="5790E92E" w14:textId="77777777" w:rsidR="00B7162E" w:rsidRPr="00012DFF" w:rsidRDefault="00B7162E" w:rsidP="00B7162E">
      <w:pPr>
        <w:spacing w:before="240" w:after="0"/>
        <w:ind w:left="360"/>
        <w:rPr>
          <w:rFonts w:eastAsia="Calibri"/>
          <w:i/>
          <w:iCs/>
          <w:color w:val="595959" w:themeColor="text1" w:themeTint="A6"/>
          <w:sz w:val="18"/>
          <w:szCs w:val="18"/>
          <w:lang w:val="en-US"/>
        </w:rPr>
      </w:pPr>
      <w:r w:rsidRPr="00012DFF">
        <w:rPr>
          <w:rFonts w:eastAsia="Calibri"/>
          <w:i/>
          <w:iCs/>
          <w:color w:val="595959" w:themeColor="text1" w:themeTint="A6"/>
          <w:sz w:val="18"/>
          <w:szCs w:val="18"/>
          <w:lang w:val="en-US"/>
        </w:rPr>
        <w:t>The firearms and accessories segment includes the design, production, assembly and sale of firearms, tactical accessories and optical mounting solutions for the military and law enforcement, personal defense, hunting, sport shooting, and other commercial use.</w:t>
      </w:r>
    </w:p>
    <w:p w14:paraId="6D4E68F1" w14:textId="77777777" w:rsidR="00B7162E" w:rsidRPr="00012DFF" w:rsidRDefault="00B7162E" w:rsidP="00B7162E">
      <w:pPr>
        <w:spacing w:before="120" w:after="0" w:line="259" w:lineRule="auto"/>
        <w:rPr>
          <w:rFonts w:eastAsia="Calibri"/>
          <w:szCs w:val="20"/>
          <w:lang w:val="en-US"/>
        </w:rPr>
      </w:pPr>
    </w:p>
    <w:p w14:paraId="741CE095" w14:textId="77777777" w:rsidR="00B7162E" w:rsidRPr="00012DFF" w:rsidRDefault="00B7162E" w:rsidP="00B7162E">
      <w:pPr>
        <w:spacing w:before="120" w:after="0" w:line="259" w:lineRule="auto"/>
        <w:rPr>
          <w:rFonts w:eastAsia="Calibri"/>
          <w:lang w:val="en-US"/>
        </w:rPr>
      </w:pPr>
      <w:r w:rsidRPr="00012DFF">
        <w:rPr>
          <w:rFonts w:eastAsia="Calibri"/>
          <w:lang w:val="en-US"/>
        </w:rPr>
        <w:t>In the first half of 2024, there was an increase of 3.2% y-o-y in the number of sold firearms, which amounted to 463,186 units. Higher sales of long firearms were recorded, which rose 11.8% y-o-y to 194,367 units, while sales of handguns recorded a slight decrease of 2.3% y-o-y. The Company is also registering a recovery in the US commercial market in the handguns segment.</w:t>
      </w:r>
    </w:p>
    <w:p w14:paraId="12E097DD" w14:textId="77777777" w:rsidR="00B7162E" w:rsidRPr="00012DFF" w:rsidRDefault="00B7162E" w:rsidP="00B7162E">
      <w:pPr>
        <w:spacing w:before="120" w:after="0" w:line="259" w:lineRule="auto"/>
        <w:rPr>
          <w:rStyle w:val="Zdraznn"/>
          <w:rFonts w:eastAsia="Calibri"/>
          <w:szCs w:val="20"/>
          <w:lang w:val="en-US"/>
        </w:rPr>
      </w:pPr>
      <w:r w:rsidRPr="00012DFF">
        <w:rPr>
          <w:rStyle w:val="Zdraznn"/>
          <w:rFonts w:eastAsia="Calibri"/>
          <w:szCs w:val="20"/>
          <w:lang w:val="en-US"/>
        </w:rPr>
        <w:t>Overview of the firearm units sold by type:</w:t>
      </w:r>
    </w:p>
    <w:tbl>
      <w:tblPr>
        <w:tblW w:w="5000" w:type="pct"/>
        <w:tblLook w:val="04A0" w:firstRow="1" w:lastRow="0" w:firstColumn="1" w:lastColumn="0" w:noHBand="0" w:noVBand="1"/>
      </w:tblPr>
      <w:tblGrid>
        <w:gridCol w:w="3297"/>
        <w:gridCol w:w="2039"/>
        <w:gridCol w:w="1726"/>
        <w:gridCol w:w="1726"/>
      </w:tblGrid>
      <w:tr w:rsidR="00B7162E" w:rsidRPr="00012DFF" w14:paraId="116CDA9F" w14:textId="77777777" w:rsidTr="00A073FC">
        <w:trPr>
          <w:trHeight w:val="464"/>
        </w:trPr>
        <w:tc>
          <w:tcPr>
            <w:tcW w:w="1876" w:type="pct"/>
            <w:vAlign w:val="center"/>
          </w:tcPr>
          <w:p w14:paraId="4D2EA3C5" w14:textId="77777777" w:rsidR="00B7162E" w:rsidRPr="00012DFF" w:rsidRDefault="00B7162E" w:rsidP="00A073FC">
            <w:pPr>
              <w:pStyle w:val="ClientNormal"/>
              <w:spacing w:before="120"/>
              <w:rPr>
                <w:rFonts w:ascii="Atyp Colt CZ" w:eastAsia="Calibri" w:hAnsi="Atyp Colt CZ"/>
                <w:sz w:val="16"/>
                <w:szCs w:val="16"/>
                <w:lang w:val="en-US"/>
              </w:rPr>
            </w:pPr>
            <w:r w:rsidRPr="00012DFF">
              <w:rPr>
                <w:rFonts w:ascii="Atyp Colt CZ" w:eastAsia="Calibri" w:hAnsi="Atyp Colt CZ"/>
                <w:sz w:val="16"/>
                <w:szCs w:val="16"/>
                <w:lang w:val="en-US"/>
              </w:rPr>
              <w:t>In units</w:t>
            </w:r>
          </w:p>
        </w:tc>
        <w:tc>
          <w:tcPr>
            <w:tcW w:w="1160" w:type="pct"/>
            <w:vAlign w:val="center"/>
          </w:tcPr>
          <w:p w14:paraId="114D9609" w14:textId="77777777" w:rsidR="00B7162E" w:rsidRPr="00012DFF" w:rsidRDefault="00B7162E" w:rsidP="00A073FC">
            <w:pPr>
              <w:pStyle w:val="ClientNormal"/>
              <w:spacing w:before="120"/>
              <w:jc w:val="right"/>
              <w:rPr>
                <w:rFonts w:ascii="Atyp Colt CZ" w:eastAsia="Calibri" w:hAnsi="Atyp Colt CZ"/>
                <w:sz w:val="16"/>
                <w:szCs w:val="16"/>
                <w:lang w:val="en-US"/>
              </w:rPr>
            </w:pPr>
            <w:r w:rsidRPr="00012DFF">
              <w:rPr>
                <w:rFonts w:ascii="Atyp Colt CZ" w:eastAsia="Calibri" w:hAnsi="Atyp Colt CZ"/>
                <w:sz w:val="16"/>
                <w:szCs w:val="16"/>
                <w:lang w:val="en-US"/>
              </w:rPr>
              <w:t>9M 2024</w:t>
            </w:r>
          </w:p>
        </w:tc>
        <w:tc>
          <w:tcPr>
            <w:tcW w:w="982" w:type="pct"/>
            <w:vAlign w:val="center"/>
          </w:tcPr>
          <w:p w14:paraId="68818619" w14:textId="77777777" w:rsidR="00B7162E" w:rsidRPr="00012DFF" w:rsidRDefault="00B7162E" w:rsidP="00A073FC">
            <w:pPr>
              <w:pStyle w:val="ClientNormal"/>
              <w:spacing w:before="120"/>
              <w:jc w:val="right"/>
              <w:rPr>
                <w:rFonts w:ascii="Atyp Colt CZ" w:eastAsia="Calibri" w:hAnsi="Atyp Colt CZ"/>
                <w:sz w:val="16"/>
                <w:szCs w:val="16"/>
                <w:lang w:val="en-US"/>
              </w:rPr>
            </w:pPr>
            <w:r w:rsidRPr="00012DFF">
              <w:rPr>
                <w:rFonts w:ascii="Atyp Colt CZ" w:eastAsia="Calibri" w:hAnsi="Atyp Colt CZ"/>
                <w:sz w:val="16"/>
                <w:szCs w:val="16"/>
                <w:lang w:val="en-US"/>
              </w:rPr>
              <w:t>9M 2023</w:t>
            </w:r>
          </w:p>
        </w:tc>
        <w:tc>
          <w:tcPr>
            <w:tcW w:w="982" w:type="pct"/>
            <w:vAlign w:val="center"/>
          </w:tcPr>
          <w:p w14:paraId="4C025B14" w14:textId="77777777" w:rsidR="00B7162E" w:rsidRPr="00012DFF" w:rsidRDefault="00B7162E" w:rsidP="00A073FC">
            <w:pPr>
              <w:pStyle w:val="ClientNormal"/>
              <w:spacing w:before="120"/>
              <w:jc w:val="right"/>
              <w:rPr>
                <w:rFonts w:ascii="Atyp Colt CZ" w:eastAsia="Calibri" w:hAnsi="Atyp Colt CZ"/>
                <w:sz w:val="16"/>
                <w:szCs w:val="16"/>
                <w:lang w:val="en-US"/>
              </w:rPr>
            </w:pPr>
            <w:r w:rsidRPr="00012DFF">
              <w:rPr>
                <w:rFonts w:ascii="Atyp Colt CZ" w:eastAsia="Calibri" w:hAnsi="Atyp Colt CZ"/>
                <w:sz w:val="16"/>
                <w:szCs w:val="16"/>
                <w:lang w:val="en-US"/>
              </w:rPr>
              <w:t>Change in %</w:t>
            </w:r>
          </w:p>
        </w:tc>
      </w:tr>
      <w:tr w:rsidR="00B7162E" w:rsidRPr="00012DFF" w14:paraId="2F159ED8" w14:textId="77777777" w:rsidTr="00A073FC">
        <w:trPr>
          <w:trHeight w:val="283"/>
        </w:trPr>
        <w:tc>
          <w:tcPr>
            <w:tcW w:w="1876" w:type="pct"/>
            <w:vAlign w:val="center"/>
          </w:tcPr>
          <w:p w14:paraId="180BBCC3" w14:textId="77777777" w:rsidR="00B7162E" w:rsidRPr="00012DFF" w:rsidRDefault="00B7162E" w:rsidP="00A073FC">
            <w:pPr>
              <w:pStyle w:val="ClientNormal"/>
              <w:spacing w:before="120"/>
              <w:rPr>
                <w:rFonts w:ascii="Atyp Colt CZ" w:eastAsia="Calibri" w:hAnsi="Atyp Colt CZ" w:cs="Calibri"/>
                <w:sz w:val="16"/>
                <w:szCs w:val="16"/>
                <w:lang w:val="en-US"/>
              </w:rPr>
            </w:pPr>
            <w:r w:rsidRPr="00012DFF">
              <w:rPr>
                <w:rFonts w:ascii="Atyp Colt CZ" w:eastAsia="Calibri" w:hAnsi="Atyp Colt CZ" w:cs="Calibri"/>
                <w:sz w:val="16"/>
                <w:szCs w:val="16"/>
                <w:lang w:val="en-US"/>
              </w:rPr>
              <w:t>Handguns</w:t>
            </w:r>
          </w:p>
        </w:tc>
        <w:tc>
          <w:tcPr>
            <w:tcW w:w="1160" w:type="pct"/>
          </w:tcPr>
          <w:p w14:paraId="155544C2" w14:textId="77777777" w:rsidR="00B7162E" w:rsidRPr="00012DFF" w:rsidRDefault="00B7162E" w:rsidP="00A073FC">
            <w:pPr>
              <w:pStyle w:val="ClientNormal"/>
              <w:spacing w:before="120"/>
              <w:jc w:val="right"/>
              <w:rPr>
                <w:rFonts w:ascii="Atyp Colt CZ" w:eastAsia="Calibri" w:hAnsi="Atyp Colt CZ" w:cs="Calibri"/>
                <w:sz w:val="16"/>
                <w:szCs w:val="16"/>
                <w:lang w:val="en-US"/>
              </w:rPr>
            </w:pPr>
            <w:r w:rsidRPr="00012DFF">
              <w:rPr>
                <w:rFonts w:ascii="Atyp Colt CZ" w:eastAsia="Calibri" w:hAnsi="Atyp Colt CZ" w:cs="Calibri"/>
                <w:sz w:val="16"/>
                <w:szCs w:val="16"/>
                <w:lang w:val="en-US"/>
              </w:rPr>
              <w:t>268,819</w:t>
            </w:r>
          </w:p>
        </w:tc>
        <w:tc>
          <w:tcPr>
            <w:tcW w:w="982" w:type="pct"/>
            <w:vAlign w:val="center"/>
          </w:tcPr>
          <w:p w14:paraId="033B77A2" w14:textId="77777777" w:rsidR="00B7162E" w:rsidRPr="00012DFF" w:rsidRDefault="00B7162E" w:rsidP="00A073FC">
            <w:pPr>
              <w:pStyle w:val="ClientNormal"/>
              <w:spacing w:before="120"/>
              <w:jc w:val="right"/>
              <w:rPr>
                <w:rFonts w:ascii="Atyp Colt CZ" w:eastAsia="Calibri" w:hAnsi="Atyp Colt CZ" w:cs="Calibri"/>
                <w:sz w:val="16"/>
                <w:szCs w:val="16"/>
                <w:lang w:val="en-US"/>
              </w:rPr>
            </w:pPr>
            <w:r w:rsidRPr="00012DFF">
              <w:rPr>
                <w:rFonts w:ascii="Atyp Colt CZ" w:eastAsia="Calibri" w:hAnsi="Atyp Colt CZ" w:cs="Calibri"/>
                <w:sz w:val="16"/>
                <w:szCs w:val="16"/>
                <w:lang w:val="en-US"/>
              </w:rPr>
              <w:t>275,054</w:t>
            </w:r>
          </w:p>
        </w:tc>
        <w:tc>
          <w:tcPr>
            <w:tcW w:w="982" w:type="pct"/>
            <w:vAlign w:val="center"/>
          </w:tcPr>
          <w:p w14:paraId="1B693B53" w14:textId="77777777" w:rsidR="00B7162E" w:rsidRPr="00012DFF" w:rsidRDefault="00B7162E" w:rsidP="00A073FC">
            <w:pPr>
              <w:pStyle w:val="ClientNormal"/>
              <w:spacing w:before="120"/>
              <w:jc w:val="right"/>
              <w:rPr>
                <w:rFonts w:ascii="Atyp Colt CZ" w:eastAsia="Calibri" w:hAnsi="Atyp Colt CZ" w:cs="Calibri"/>
                <w:sz w:val="16"/>
                <w:szCs w:val="16"/>
                <w:lang w:val="en-US"/>
              </w:rPr>
            </w:pPr>
            <w:r w:rsidRPr="00012DFF">
              <w:rPr>
                <w:rFonts w:ascii="Atyp Colt CZ" w:eastAsia="Calibri" w:hAnsi="Atyp Colt CZ" w:cs="Calibri"/>
                <w:sz w:val="16"/>
                <w:szCs w:val="16"/>
                <w:lang w:val="en-US"/>
              </w:rPr>
              <w:t>(2.3%)</w:t>
            </w:r>
          </w:p>
        </w:tc>
      </w:tr>
      <w:tr w:rsidR="00B7162E" w:rsidRPr="00012DFF" w14:paraId="50B64571" w14:textId="77777777" w:rsidTr="00A073FC">
        <w:trPr>
          <w:trHeight w:val="283"/>
        </w:trPr>
        <w:tc>
          <w:tcPr>
            <w:tcW w:w="1876" w:type="pct"/>
            <w:vAlign w:val="center"/>
          </w:tcPr>
          <w:p w14:paraId="6B7B9E15" w14:textId="77777777" w:rsidR="00B7162E" w:rsidRPr="00012DFF" w:rsidRDefault="00B7162E" w:rsidP="00A073FC">
            <w:pPr>
              <w:pStyle w:val="ClientNormal"/>
              <w:spacing w:before="120"/>
              <w:rPr>
                <w:rFonts w:ascii="Atyp Colt CZ" w:eastAsia="Calibri" w:hAnsi="Atyp Colt CZ" w:cs="Calibri"/>
                <w:sz w:val="16"/>
                <w:szCs w:val="16"/>
                <w:lang w:val="en-US"/>
              </w:rPr>
            </w:pPr>
            <w:r w:rsidRPr="00012DFF">
              <w:rPr>
                <w:rFonts w:ascii="Atyp Colt CZ" w:eastAsia="Calibri" w:hAnsi="Atyp Colt CZ" w:cs="Calibri"/>
                <w:sz w:val="16"/>
                <w:szCs w:val="16"/>
                <w:lang w:val="en-US"/>
              </w:rPr>
              <w:t>Long firearms</w:t>
            </w:r>
          </w:p>
        </w:tc>
        <w:tc>
          <w:tcPr>
            <w:tcW w:w="1160" w:type="pct"/>
          </w:tcPr>
          <w:p w14:paraId="006C6EC3" w14:textId="77777777" w:rsidR="00B7162E" w:rsidRPr="00012DFF" w:rsidRDefault="00B7162E" w:rsidP="00A073FC">
            <w:pPr>
              <w:pStyle w:val="ClientNormal"/>
              <w:pBdr>
                <w:bottom w:val="single" w:sz="4" w:space="1" w:color="auto"/>
              </w:pBdr>
              <w:spacing w:before="120"/>
              <w:jc w:val="right"/>
              <w:rPr>
                <w:rFonts w:ascii="Atyp Colt CZ" w:eastAsia="Calibri" w:hAnsi="Atyp Colt CZ" w:cs="Calibri"/>
                <w:sz w:val="16"/>
                <w:szCs w:val="16"/>
                <w:lang w:val="en-US"/>
              </w:rPr>
            </w:pPr>
            <w:r w:rsidRPr="00012DFF">
              <w:rPr>
                <w:rFonts w:ascii="Atyp Colt CZ" w:eastAsia="Calibri" w:hAnsi="Atyp Colt CZ" w:cs="Calibri"/>
                <w:sz w:val="16"/>
                <w:szCs w:val="16"/>
                <w:lang w:val="en-US"/>
              </w:rPr>
              <w:t>194,367</w:t>
            </w:r>
          </w:p>
        </w:tc>
        <w:tc>
          <w:tcPr>
            <w:tcW w:w="982" w:type="pct"/>
            <w:vAlign w:val="center"/>
          </w:tcPr>
          <w:p w14:paraId="5AE1EE4E" w14:textId="77777777" w:rsidR="00B7162E" w:rsidRPr="00012DFF" w:rsidRDefault="00B7162E" w:rsidP="00A073FC">
            <w:pPr>
              <w:pStyle w:val="ClientNormal"/>
              <w:pBdr>
                <w:bottom w:val="single" w:sz="4" w:space="1" w:color="auto"/>
              </w:pBdr>
              <w:spacing w:before="120"/>
              <w:jc w:val="right"/>
              <w:rPr>
                <w:rFonts w:ascii="Atyp Colt CZ" w:eastAsia="Calibri" w:hAnsi="Atyp Colt CZ" w:cs="Calibri"/>
                <w:sz w:val="16"/>
                <w:szCs w:val="16"/>
                <w:lang w:val="en-US"/>
              </w:rPr>
            </w:pPr>
            <w:r w:rsidRPr="00012DFF">
              <w:rPr>
                <w:rFonts w:ascii="Atyp Colt CZ" w:eastAsia="Calibri" w:hAnsi="Atyp Colt CZ" w:cs="Calibri"/>
                <w:sz w:val="16"/>
                <w:szCs w:val="16"/>
                <w:lang w:val="en-US"/>
              </w:rPr>
              <w:t>173,805</w:t>
            </w:r>
          </w:p>
        </w:tc>
        <w:tc>
          <w:tcPr>
            <w:tcW w:w="982" w:type="pct"/>
            <w:vAlign w:val="center"/>
          </w:tcPr>
          <w:p w14:paraId="287FFA69" w14:textId="77777777" w:rsidR="00B7162E" w:rsidRPr="00012DFF" w:rsidRDefault="00B7162E" w:rsidP="00A073FC">
            <w:pPr>
              <w:pStyle w:val="ClientNormal"/>
              <w:pBdr>
                <w:bottom w:val="single" w:sz="4" w:space="1" w:color="auto"/>
              </w:pBdr>
              <w:spacing w:before="120"/>
              <w:jc w:val="right"/>
              <w:rPr>
                <w:rFonts w:ascii="Atyp Colt CZ" w:eastAsia="Calibri" w:hAnsi="Atyp Colt CZ" w:cs="Calibri"/>
                <w:sz w:val="16"/>
                <w:szCs w:val="16"/>
                <w:lang w:val="en-US"/>
              </w:rPr>
            </w:pPr>
            <w:r w:rsidRPr="00012DFF">
              <w:rPr>
                <w:rFonts w:ascii="Atyp Colt CZ" w:eastAsia="Calibri" w:hAnsi="Atyp Colt CZ" w:cs="Calibri"/>
                <w:sz w:val="16"/>
                <w:szCs w:val="16"/>
                <w:lang w:val="en-US"/>
              </w:rPr>
              <w:t>11.8%</w:t>
            </w:r>
          </w:p>
        </w:tc>
      </w:tr>
      <w:tr w:rsidR="00B7162E" w:rsidRPr="00012DFF" w14:paraId="53B8CD95" w14:textId="77777777" w:rsidTr="00A073FC">
        <w:trPr>
          <w:trHeight w:val="283"/>
        </w:trPr>
        <w:tc>
          <w:tcPr>
            <w:tcW w:w="1876" w:type="pct"/>
            <w:vAlign w:val="center"/>
          </w:tcPr>
          <w:p w14:paraId="7B92DBD6" w14:textId="77777777" w:rsidR="00B7162E" w:rsidRPr="00012DFF" w:rsidRDefault="00B7162E" w:rsidP="00A073FC">
            <w:pPr>
              <w:pStyle w:val="ClientNormal"/>
              <w:spacing w:before="120"/>
              <w:rPr>
                <w:rFonts w:ascii="Atyp Colt CZ" w:eastAsia="Calibri" w:hAnsi="Atyp Colt CZ" w:cs="Calibri"/>
                <w:b/>
                <w:bCs/>
                <w:sz w:val="16"/>
                <w:szCs w:val="16"/>
                <w:lang w:val="en-US"/>
              </w:rPr>
            </w:pPr>
            <w:r w:rsidRPr="00012DFF">
              <w:rPr>
                <w:rFonts w:ascii="Atyp Colt CZ" w:hAnsi="Atyp Colt CZ" w:cs="Calibri"/>
                <w:b/>
                <w:bCs/>
                <w:sz w:val="16"/>
                <w:szCs w:val="16"/>
                <w:lang w:val="en-US"/>
              </w:rPr>
              <w:t>Total firearms</w:t>
            </w:r>
          </w:p>
        </w:tc>
        <w:tc>
          <w:tcPr>
            <w:tcW w:w="1160" w:type="pct"/>
          </w:tcPr>
          <w:p w14:paraId="4C088E23" w14:textId="77777777" w:rsidR="00B7162E" w:rsidRPr="00012DFF" w:rsidRDefault="00B7162E" w:rsidP="00A073FC">
            <w:pPr>
              <w:pStyle w:val="ClientNormal"/>
              <w:pBdr>
                <w:bottom w:val="double" w:sz="4" w:space="1" w:color="auto"/>
              </w:pBdr>
              <w:spacing w:before="120"/>
              <w:jc w:val="right"/>
              <w:rPr>
                <w:rFonts w:ascii="Atyp Colt CZ" w:eastAsia="Calibri" w:hAnsi="Atyp Colt CZ" w:cs="Calibri"/>
                <w:b/>
                <w:bCs/>
                <w:sz w:val="16"/>
                <w:szCs w:val="16"/>
                <w:lang w:val="en-US"/>
              </w:rPr>
            </w:pPr>
            <w:r w:rsidRPr="00012DFF">
              <w:rPr>
                <w:rFonts w:ascii="Atyp Colt CZ" w:eastAsia="Calibri" w:hAnsi="Atyp Colt CZ" w:cs="Calibri"/>
                <w:b/>
                <w:bCs/>
                <w:sz w:val="16"/>
                <w:szCs w:val="16"/>
                <w:lang w:val="en-US"/>
              </w:rPr>
              <w:t>463,186</w:t>
            </w:r>
          </w:p>
        </w:tc>
        <w:tc>
          <w:tcPr>
            <w:tcW w:w="982" w:type="pct"/>
            <w:vAlign w:val="center"/>
          </w:tcPr>
          <w:p w14:paraId="7F41B60B" w14:textId="77777777" w:rsidR="00B7162E" w:rsidRPr="00012DFF" w:rsidRDefault="00B7162E" w:rsidP="00A073FC">
            <w:pPr>
              <w:pStyle w:val="ClientNormal"/>
              <w:pBdr>
                <w:bottom w:val="double" w:sz="4" w:space="1" w:color="auto"/>
              </w:pBdr>
              <w:spacing w:before="120"/>
              <w:jc w:val="right"/>
              <w:rPr>
                <w:rFonts w:ascii="Atyp Colt CZ" w:eastAsia="Calibri" w:hAnsi="Atyp Colt CZ" w:cs="Calibri"/>
                <w:b/>
                <w:bCs/>
                <w:sz w:val="16"/>
                <w:szCs w:val="16"/>
                <w:lang w:val="en-US"/>
              </w:rPr>
            </w:pPr>
            <w:r w:rsidRPr="00012DFF">
              <w:rPr>
                <w:rFonts w:ascii="Atyp Colt CZ" w:eastAsia="Calibri" w:hAnsi="Atyp Colt CZ" w:cs="Calibri"/>
                <w:b/>
                <w:bCs/>
                <w:sz w:val="16"/>
                <w:szCs w:val="16"/>
                <w:lang w:val="en-US"/>
              </w:rPr>
              <w:t>448,859</w:t>
            </w:r>
          </w:p>
        </w:tc>
        <w:tc>
          <w:tcPr>
            <w:tcW w:w="982" w:type="pct"/>
            <w:vAlign w:val="center"/>
          </w:tcPr>
          <w:p w14:paraId="16F1C254" w14:textId="77777777" w:rsidR="00B7162E" w:rsidRPr="00012DFF" w:rsidRDefault="00B7162E" w:rsidP="00A073FC">
            <w:pPr>
              <w:pStyle w:val="ClientNormal"/>
              <w:pBdr>
                <w:bottom w:val="double" w:sz="4" w:space="1" w:color="auto"/>
              </w:pBdr>
              <w:spacing w:before="120"/>
              <w:jc w:val="right"/>
              <w:rPr>
                <w:rFonts w:ascii="Atyp Colt CZ" w:eastAsia="Calibri" w:hAnsi="Atyp Colt CZ" w:cs="Calibri"/>
                <w:b/>
                <w:bCs/>
                <w:sz w:val="16"/>
                <w:szCs w:val="16"/>
                <w:lang w:val="en-US"/>
              </w:rPr>
            </w:pPr>
            <w:r w:rsidRPr="00012DFF">
              <w:rPr>
                <w:rFonts w:ascii="Atyp Colt CZ" w:eastAsia="Calibri" w:hAnsi="Atyp Colt CZ" w:cs="Calibri"/>
                <w:b/>
                <w:bCs/>
                <w:sz w:val="16"/>
                <w:szCs w:val="16"/>
                <w:lang w:val="en-US"/>
              </w:rPr>
              <w:t>3.2%</w:t>
            </w:r>
          </w:p>
        </w:tc>
      </w:tr>
    </w:tbl>
    <w:p w14:paraId="73B3A864" w14:textId="77777777" w:rsidR="00B7162E" w:rsidRPr="00012DFF" w:rsidRDefault="00B7162E" w:rsidP="00B7162E">
      <w:pPr>
        <w:spacing w:before="240" w:line="276" w:lineRule="auto"/>
        <w:rPr>
          <w:rStyle w:val="Zdraznn"/>
          <w:rFonts w:eastAsia="Calibri"/>
          <w:b w:val="0"/>
          <w:szCs w:val="20"/>
          <w:lang w:val="en-US"/>
        </w:rPr>
      </w:pPr>
      <w:r w:rsidRPr="00012DFF">
        <w:rPr>
          <w:rStyle w:val="Zdraznn"/>
          <w:rFonts w:eastAsia="Calibri"/>
          <w:b w:val="0"/>
          <w:szCs w:val="20"/>
          <w:lang w:val="en-US"/>
        </w:rPr>
        <w:t>Revenue from the firearms and accessories segment increased by 11% y-o-y in the first nine months of 2024, to a total of CZK 11.0 billion, primarily based on growth in the number of firearms sold and a favorable sales mix.</w:t>
      </w:r>
    </w:p>
    <w:p w14:paraId="4E4FE74F" w14:textId="77777777" w:rsidR="00B7162E" w:rsidRPr="00012DFF" w:rsidRDefault="00B7162E" w:rsidP="00B7162E">
      <w:pPr>
        <w:pStyle w:val="Odstavecseseznamem"/>
        <w:numPr>
          <w:ilvl w:val="0"/>
          <w:numId w:val="23"/>
        </w:numPr>
        <w:spacing w:before="240" w:after="0"/>
        <w:rPr>
          <w:rFonts w:eastAsia="Calibri"/>
          <w:i/>
          <w:iCs/>
          <w:sz w:val="22"/>
          <w:szCs w:val="22"/>
          <w:lang w:val="en-US"/>
        </w:rPr>
      </w:pPr>
      <w:r w:rsidRPr="00012DFF">
        <w:rPr>
          <w:i/>
          <w:iCs/>
          <w:sz w:val="22"/>
          <w:szCs w:val="22"/>
          <w:lang w:val="en-US"/>
        </w:rPr>
        <w:t>Ammunition segment</w:t>
      </w:r>
    </w:p>
    <w:p w14:paraId="6A699996" w14:textId="77777777" w:rsidR="00B7162E" w:rsidRPr="00012DFF" w:rsidRDefault="00B7162E" w:rsidP="00B7162E">
      <w:pPr>
        <w:spacing w:before="240" w:line="276" w:lineRule="auto"/>
        <w:rPr>
          <w:rStyle w:val="Zdraznn"/>
          <w:rFonts w:eastAsia="Calibri"/>
          <w:b w:val="0"/>
          <w:szCs w:val="20"/>
          <w:lang w:val="en-US"/>
        </w:rPr>
      </w:pPr>
      <w:r w:rsidRPr="00012DFF">
        <w:rPr>
          <w:i/>
          <w:iCs/>
          <w:color w:val="595959" w:themeColor="text1" w:themeTint="A6"/>
          <w:sz w:val="18"/>
          <w:szCs w:val="18"/>
          <w:lang w:val="en-US"/>
        </w:rPr>
        <w:t>The ammunition segment consists of the design, production and sale of small-caliber ammunition,</w:t>
      </w:r>
      <w:r w:rsidRPr="00012DFF">
        <w:rPr>
          <w:rFonts w:eastAsia="Calibri"/>
          <w:i/>
          <w:iCs/>
          <w:color w:val="595959" w:themeColor="text1" w:themeTint="A6"/>
          <w:sz w:val="18"/>
          <w:szCs w:val="18"/>
          <w:lang w:val="en-US"/>
        </w:rPr>
        <w:t xml:space="preserve"> </w:t>
      </w:r>
      <w:r w:rsidRPr="00012DFF">
        <w:rPr>
          <w:i/>
          <w:iCs/>
          <w:color w:val="595959" w:themeColor="text1" w:themeTint="A6"/>
          <w:sz w:val="18"/>
          <w:szCs w:val="18"/>
          <w:lang w:val="en-US"/>
        </w:rPr>
        <w:t>including pistol and rifle ammunition, together with shotgun shells for hunting, sport shooting, and</w:t>
      </w:r>
      <w:r w:rsidRPr="00012DFF">
        <w:rPr>
          <w:rFonts w:eastAsia="Calibri"/>
          <w:i/>
          <w:iCs/>
          <w:color w:val="595959" w:themeColor="text1" w:themeTint="A6"/>
          <w:sz w:val="18"/>
          <w:szCs w:val="18"/>
          <w:lang w:val="en-US"/>
        </w:rPr>
        <w:t xml:space="preserve"> </w:t>
      </w:r>
      <w:r w:rsidRPr="00012DFF">
        <w:rPr>
          <w:i/>
          <w:iCs/>
          <w:color w:val="595959" w:themeColor="text1" w:themeTint="A6"/>
          <w:sz w:val="18"/>
          <w:szCs w:val="18"/>
          <w:lang w:val="en-US"/>
        </w:rPr>
        <w:t>military and law enforcement, as well as the production and sale of grenades and other military material.</w:t>
      </w:r>
      <w:r w:rsidRPr="00012DFF">
        <w:rPr>
          <w:rFonts w:eastAsia="Calibri"/>
          <w:i/>
          <w:iCs/>
          <w:color w:val="595959" w:themeColor="text1" w:themeTint="A6"/>
          <w:sz w:val="18"/>
          <w:szCs w:val="18"/>
          <w:lang w:val="en-US"/>
        </w:rPr>
        <w:t xml:space="preserve"> </w:t>
      </w:r>
      <w:r w:rsidRPr="00012DFF">
        <w:rPr>
          <w:i/>
          <w:iCs/>
          <w:color w:val="595959" w:themeColor="text1" w:themeTint="A6"/>
          <w:sz w:val="18"/>
          <w:szCs w:val="18"/>
          <w:lang w:val="en-US"/>
        </w:rPr>
        <w:t xml:space="preserve">It also includes </w:t>
      </w:r>
      <w:r>
        <w:rPr>
          <w:i/>
          <w:iCs/>
          <w:color w:val="595959" w:themeColor="text1" w:themeTint="A6"/>
          <w:sz w:val="18"/>
          <w:szCs w:val="18"/>
          <w:lang w:val="en-US"/>
        </w:rPr>
        <w:t xml:space="preserve">the </w:t>
      </w:r>
      <w:r w:rsidRPr="00012DFF">
        <w:rPr>
          <w:i/>
          <w:iCs/>
          <w:color w:val="595959" w:themeColor="text1" w:themeTint="A6"/>
          <w:sz w:val="18"/>
          <w:szCs w:val="18"/>
          <w:lang w:val="en-US"/>
        </w:rPr>
        <w:t>development and production of ammunition manufacturing machinery and tools</w:t>
      </w:r>
      <w:r w:rsidRPr="00012DFF">
        <w:rPr>
          <w:rStyle w:val="Zdraznn"/>
          <w:rFonts w:eastAsia="Calibri"/>
          <w:b w:val="0"/>
          <w:szCs w:val="20"/>
          <w:lang w:val="en-US"/>
        </w:rPr>
        <w:t>.</w:t>
      </w:r>
    </w:p>
    <w:p w14:paraId="7036122A" w14:textId="77777777" w:rsidR="00B7162E" w:rsidRPr="00012DFF" w:rsidRDefault="00B7162E" w:rsidP="00B7162E">
      <w:pPr>
        <w:spacing w:before="240" w:line="276" w:lineRule="auto"/>
        <w:rPr>
          <w:rStyle w:val="Zdraznn"/>
          <w:rFonts w:eastAsia="Calibri"/>
          <w:b w:val="0"/>
          <w:lang w:val="en-US"/>
        </w:rPr>
      </w:pPr>
      <w:r w:rsidRPr="62E0C7F7">
        <w:rPr>
          <w:rStyle w:val="Zdraznn"/>
          <w:rFonts w:eastAsia="Calibri"/>
          <w:b w:val="0"/>
          <w:lang w:val="en-US"/>
        </w:rPr>
        <w:t xml:space="preserve">Starting from the first half of 2024, the Company will separately report for the ammunition segment in accordance with IFRS. In the ammunition segment, the Company includes revenues </w:t>
      </w:r>
      <w:r>
        <w:rPr>
          <w:rStyle w:val="Zdraznn"/>
          <w:rFonts w:eastAsia="Calibri"/>
          <w:b w:val="0"/>
          <w:lang w:val="en-US"/>
        </w:rPr>
        <w:t>from</w:t>
      </w:r>
      <w:r w:rsidRPr="62E0C7F7">
        <w:rPr>
          <w:rStyle w:val="Zdraznn"/>
          <w:rFonts w:eastAsia="Calibri"/>
          <w:b w:val="0"/>
          <w:lang w:val="en-US"/>
        </w:rPr>
        <w:t xml:space="preserve"> its subsidiaries Sellier &amp; Bellot (from 16 May 2024), </w:t>
      </w:r>
      <w:proofErr w:type="spellStart"/>
      <w:r w:rsidRPr="62E0C7F7">
        <w:rPr>
          <w:rStyle w:val="Zdraznn"/>
          <w:rFonts w:eastAsia="Calibri"/>
          <w:b w:val="0"/>
          <w:lang w:val="en-US"/>
        </w:rPr>
        <w:t>swissAA</w:t>
      </w:r>
      <w:proofErr w:type="spellEnd"/>
      <w:r w:rsidRPr="62E0C7F7">
        <w:rPr>
          <w:rStyle w:val="Zdraznn"/>
          <w:rFonts w:eastAsia="Calibri"/>
          <w:b w:val="0"/>
          <w:lang w:val="en-US"/>
        </w:rPr>
        <w:t>, and the relevant part of revenues of Colt CZ Defense Solutions. In the newly reported ammunition and munitions segment, the Group achieved revenues of CZK 4.0 billion in the first nine months of 2024.</w:t>
      </w:r>
    </w:p>
    <w:p w14:paraId="6563CD11" w14:textId="77777777" w:rsidR="00B7162E" w:rsidRPr="00012DFF" w:rsidRDefault="00B7162E" w:rsidP="00B7162E">
      <w:pPr>
        <w:spacing w:before="240" w:line="276" w:lineRule="auto"/>
        <w:rPr>
          <w:rFonts w:eastAsiaTheme="minorHAnsi" w:cs="Calibri"/>
          <w:b/>
          <w:bCs/>
          <w:szCs w:val="20"/>
          <w:lang w:val="en-US"/>
        </w:rPr>
      </w:pPr>
      <w:r w:rsidRPr="00012DFF">
        <w:rPr>
          <w:rFonts w:eastAsiaTheme="minorHAnsi" w:cs="Calibri"/>
          <w:b/>
          <w:bCs/>
          <w:szCs w:val="20"/>
          <w:lang w:val="en-US"/>
        </w:rPr>
        <w:t>EBITDA</w:t>
      </w:r>
      <w:r>
        <w:rPr>
          <w:rFonts w:eastAsiaTheme="minorHAnsi" w:cs="Calibri"/>
          <w:b/>
          <w:bCs/>
          <w:szCs w:val="20"/>
          <w:lang w:val="en-US"/>
        </w:rPr>
        <w:t xml:space="preserve"> and</w:t>
      </w:r>
      <w:r w:rsidRPr="00012DFF">
        <w:rPr>
          <w:rFonts w:eastAsiaTheme="minorHAnsi" w:cs="Calibri"/>
          <w:b/>
          <w:bCs/>
          <w:szCs w:val="20"/>
          <w:lang w:val="en-US"/>
        </w:rPr>
        <w:t xml:space="preserve"> adjusted EBITDA</w:t>
      </w:r>
      <w:r w:rsidRPr="00012DFF">
        <w:rPr>
          <w:rStyle w:val="Znakapoznpodarou"/>
          <w:rFonts w:eastAsiaTheme="minorHAnsi" w:cs="Calibri"/>
          <w:b/>
          <w:bCs/>
          <w:szCs w:val="20"/>
          <w:lang w:val="en-US"/>
        </w:rPr>
        <w:footnoteReference w:id="3"/>
      </w:r>
      <w:r w:rsidRPr="00012DFF">
        <w:rPr>
          <w:rFonts w:eastAsiaTheme="minorHAnsi" w:cs="Calibri"/>
          <w:b/>
          <w:bCs/>
          <w:szCs w:val="20"/>
          <w:lang w:val="en-US"/>
        </w:rPr>
        <w:t xml:space="preserve"> </w:t>
      </w:r>
    </w:p>
    <w:p w14:paraId="40BEF019" w14:textId="77777777" w:rsidR="00B7162E" w:rsidRPr="00012DFF" w:rsidRDefault="00B7162E" w:rsidP="00B7162E">
      <w:pPr>
        <w:spacing w:before="120" w:line="276" w:lineRule="auto"/>
        <w:rPr>
          <w:rFonts w:eastAsiaTheme="minorEastAsia" w:cs="Calibri"/>
          <w:lang w:val="en-US"/>
        </w:rPr>
      </w:pPr>
      <w:r w:rsidRPr="00012DFF">
        <w:rPr>
          <w:rFonts w:eastAsiaTheme="minorEastAsia" w:cs="Calibri"/>
          <w:lang w:val="en-US"/>
        </w:rPr>
        <w:t xml:space="preserve">In the nine months ended September 30, 2024, EBITDA went up by 31.5% to CZK 2,244.3 million compared with the same period last year, primarily thanks to the organic sales growth, especially in the second quarter of this year, the recovery of the US commercial market, a </w:t>
      </w:r>
      <w:r w:rsidRPr="00012DFF">
        <w:rPr>
          <w:rFonts w:eastAsiaTheme="minorEastAsia" w:cs="Calibri"/>
          <w:lang w:val="en-US"/>
        </w:rPr>
        <w:lastRenderedPageBreak/>
        <w:t>better sales mix of products with higher added value (higher share of orders from the M/LE segment), as well as the consolidation of the new acquisition of Sellier &amp; Bellot from 16 May 2024.</w:t>
      </w:r>
    </w:p>
    <w:p w14:paraId="49546FC0" w14:textId="77777777" w:rsidR="00B7162E" w:rsidRDefault="00B7162E" w:rsidP="00B7162E">
      <w:pPr>
        <w:spacing w:before="120" w:line="276" w:lineRule="auto"/>
        <w:rPr>
          <w:rFonts w:eastAsiaTheme="minorHAnsi" w:cs="Calibri"/>
          <w:szCs w:val="20"/>
          <w:lang w:val="en-US"/>
        </w:rPr>
      </w:pPr>
      <w:r w:rsidRPr="00012DFF">
        <w:rPr>
          <w:rFonts w:eastAsiaTheme="minorHAnsi" w:cs="Calibri"/>
          <w:szCs w:val="20"/>
          <w:lang w:val="en-US"/>
        </w:rPr>
        <w:t xml:space="preserve">The adjusted EBITDA went up by 56.1% to CZK 3,020.9 million compared with the same period of last year. The </w:t>
      </w:r>
      <w:r>
        <w:rPr>
          <w:rFonts w:eastAsiaTheme="minorHAnsi" w:cs="Calibri"/>
          <w:szCs w:val="20"/>
          <w:lang w:val="en-US"/>
        </w:rPr>
        <w:t>most significant</w:t>
      </w:r>
      <w:r w:rsidRPr="00012DFF">
        <w:rPr>
          <w:rFonts w:eastAsiaTheme="minorHAnsi" w:cs="Calibri"/>
          <w:szCs w:val="20"/>
          <w:lang w:val="en-US"/>
        </w:rPr>
        <w:t xml:space="preserve"> one-off items were expenses related to the employee stock option plan and one-off expenses connected with the acquisition of Sellier &amp; Bellot – inventory step</w:t>
      </w:r>
      <w:r>
        <w:rPr>
          <w:rFonts w:eastAsiaTheme="minorHAnsi" w:cs="Calibri"/>
          <w:szCs w:val="20"/>
          <w:lang w:val="en-US"/>
        </w:rPr>
        <w:t>-</w:t>
      </w:r>
      <w:r w:rsidRPr="00012DFF">
        <w:rPr>
          <w:rFonts w:eastAsiaTheme="minorHAnsi" w:cs="Calibri"/>
          <w:szCs w:val="20"/>
          <w:lang w:val="en-US"/>
        </w:rPr>
        <w:t>up and commodity hedging.</w:t>
      </w:r>
      <w:r>
        <w:rPr>
          <w:rFonts w:eastAsiaTheme="minorHAnsi" w:cs="Calibri"/>
          <w:szCs w:val="20"/>
          <w:lang w:val="en-US"/>
        </w:rPr>
        <w:t xml:space="preserve"> </w:t>
      </w:r>
    </w:p>
    <w:p w14:paraId="780DD0A3" w14:textId="26DEB863" w:rsidR="00B7162E" w:rsidRPr="00012DFF" w:rsidRDefault="00B7162E" w:rsidP="00B7162E">
      <w:pPr>
        <w:spacing w:before="120" w:line="276" w:lineRule="auto"/>
        <w:rPr>
          <w:rFonts w:eastAsiaTheme="minorHAnsi" w:cs="Calibri"/>
          <w:b/>
          <w:bCs/>
          <w:szCs w:val="20"/>
          <w:lang w:val="en-US"/>
        </w:rPr>
      </w:pPr>
      <w:r w:rsidRPr="00012DFF">
        <w:rPr>
          <w:rFonts w:eastAsiaTheme="minorHAnsi" w:cs="Calibri"/>
          <w:b/>
          <w:bCs/>
          <w:szCs w:val="20"/>
          <w:lang w:val="en-US"/>
        </w:rPr>
        <w:t>Profit (loss) before tax</w:t>
      </w:r>
    </w:p>
    <w:p w14:paraId="4509EA16" w14:textId="77777777" w:rsidR="00B7162E" w:rsidRPr="00012DFF" w:rsidRDefault="00B7162E" w:rsidP="00B7162E">
      <w:pPr>
        <w:spacing w:before="120" w:line="276" w:lineRule="auto"/>
        <w:rPr>
          <w:rFonts w:eastAsiaTheme="minorHAnsi" w:cs="Calibri"/>
          <w:szCs w:val="20"/>
          <w:lang w:val="en-US"/>
        </w:rPr>
      </w:pPr>
      <w:r w:rsidRPr="00012DFF">
        <w:rPr>
          <w:rFonts w:eastAsiaTheme="minorHAnsi" w:cs="Calibri"/>
          <w:szCs w:val="20"/>
          <w:lang w:val="en-US"/>
        </w:rPr>
        <w:t xml:space="preserve">Profit (loss) before tax decreased by 51.3% y-o-y to CZK 920.9 million for the first nine months of 2024, due to the impact of financial operations, cost associated to share based payment related to the employee stock option plan, the increase in depreciation and amortization related to the acquisition of Sellier &amp; Bellot and the revaluation of inventory also related to this acquisition.  </w:t>
      </w:r>
    </w:p>
    <w:p w14:paraId="286624FC" w14:textId="77777777" w:rsidR="00B7162E" w:rsidRPr="00012DFF" w:rsidRDefault="00B7162E" w:rsidP="00B7162E">
      <w:pPr>
        <w:spacing w:before="120" w:line="276" w:lineRule="auto"/>
        <w:rPr>
          <w:rFonts w:eastAsiaTheme="minorHAnsi" w:cs="Calibri"/>
          <w:b/>
          <w:bCs/>
          <w:szCs w:val="20"/>
          <w:lang w:val="en-US"/>
        </w:rPr>
      </w:pPr>
      <w:r w:rsidRPr="00012DFF">
        <w:rPr>
          <w:rFonts w:eastAsiaTheme="minorHAnsi" w:cs="Calibri"/>
          <w:b/>
          <w:bCs/>
          <w:szCs w:val="20"/>
          <w:lang w:val="en-US"/>
        </w:rPr>
        <w:t>Net profit / Adjusted Net profit</w:t>
      </w:r>
      <w:r w:rsidRPr="00012DFF">
        <w:rPr>
          <w:rStyle w:val="Znakapoznpodarou"/>
          <w:rFonts w:eastAsiaTheme="minorHAnsi" w:cs="Calibri"/>
          <w:b/>
          <w:bCs/>
          <w:szCs w:val="20"/>
          <w:lang w:val="en-US"/>
        </w:rPr>
        <w:footnoteReference w:id="4"/>
      </w:r>
    </w:p>
    <w:p w14:paraId="71A5ACF6" w14:textId="77777777" w:rsidR="00B7162E" w:rsidRPr="00012DFF" w:rsidRDefault="00B7162E" w:rsidP="00B7162E">
      <w:pPr>
        <w:spacing w:before="120" w:line="276" w:lineRule="auto"/>
        <w:rPr>
          <w:rFonts w:eastAsiaTheme="minorHAnsi" w:cs="Calibri"/>
          <w:szCs w:val="20"/>
          <w:lang w:val="en-US"/>
        </w:rPr>
      </w:pPr>
      <w:r w:rsidRPr="00012DFF">
        <w:rPr>
          <w:rFonts w:eastAsiaTheme="minorHAnsi" w:cs="Calibri"/>
          <w:szCs w:val="20"/>
          <w:lang w:val="en-US"/>
        </w:rPr>
        <w:t xml:space="preserve">Profit for the first nine months of 2024 decreased by 53.98% to CZK 708.7 million compared with the same period of last year, due to the impact of financial operations cost associated </w:t>
      </w:r>
      <w:proofErr w:type="gramStart"/>
      <w:r w:rsidRPr="00012DFF">
        <w:rPr>
          <w:rFonts w:eastAsiaTheme="minorHAnsi" w:cs="Calibri"/>
          <w:szCs w:val="20"/>
          <w:lang w:val="en-US"/>
        </w:rPr>
        <w:t>to</w:t>
      </w:r>
      <w:proofErr w:type="gramEnd"/>
      <w:r w:rsidRPr="00012DFF">
        <w:rPr>
          <w:rFonts w:eastAsiaTheme="minorHAnsi" w:cs="Calibri"/>
          <w:szCs w:val="20"/>
          <w:lang w:val="en-US"/>
        </w:rPr>
        <w:t xml:space="preserve"> share based payment related to the employee stock option plan, the increase in depreciation and amortization related to the acquisition of Sellier &amp; Bellot and the revaluation of inventory also related to this acquisition.</w:t>
      </w:r>
    </w:p>
    <w:p w14:paraId="7BE95C43" w14:textId="77777777" w:rsidR="00B7162E" w:rsidRPr="00012DFF" w:rsidRDefault="00B7162E" w:rsidP="00B7162E">
      <w:pPr>
        <w:spacing w:before="120" w:line="276" w:lineRule="auto"/>
        <w:rPr>
          <w:rFonts w:eastAsiaTheme="minorHAnsi" w:cs="Calibri"/>
          <w:szCs w:val="20"/>
          <w:lang w:val="en-US"/>
        </w:rPr>
      </w:pPr>
      <w:proofErr w:type="gramStart"/>
      <w:r w:rsidRPr="00012DFF">
        <w:rPr>
          <w:rFonts w:eastAsiaTheme="minorHAnsi" w:cs="Calibri"/>
          <w:szCs w:val="20"/>
          <w:lang w:val="en-US"/>
        </w:rPr>
        <w:t>Profit</w:t>
      </w:r>
      <w:proofErr w:type="gramEnd"/>
      <w:r w:rsidRPr="00012DFF">
        <w:rPr>
          <w:rFonts w:eastAsiaTheme="minorHAnsi" w:cs="Calibri"/>
          <w:szCs w:val="20"/>
          <w:lang w:val="en-US"/>
        </w:rPr>
        <w:t xml:space="preserve"> for the first nine months of 2024</w:t>
      </w:r>
      <w:r>
        <w:rPr>
          <w:rFonts w:eastAsiaTheme="minorHAnsi" w:cs="Calibri"/>
          <w:szCs w:val="20"/>
          <w:lang w:val="en-US"/>
        </w:rPr>
        <w:t>,</w:t>
      </w:r>
      <w:r w:rsidRPr="00012DFF">
        <w:rPr>
          <w:rFonts w:eastAsiaTheme="minorHAnsi" w:cs="Calibri"/>
          <w:szCs w:val="20"/>
          <w:lang w:val="en-US"/>
        </w:rPr>
        <w:t xml:space="preserve"> adjusted for extraordinary items</w:t>
      </w:r>
      <w:r>
        <w:rPr>
          <w:rFonts w:eastAsiaTheme="minorHAnsi" w:cs="Calibri"/>
          <w:szCs w:val="20"/>
          <w:lang w:val="en-US"/>
        </w:rPr>
        <w:t>,</w:t>
      </w:r>
      <w:r w:rsidRPr="00012DFF">
        <w:rPr>
          <w:rFonts w:eastAsiaTheme="minorHAnsi" w:cs="Calibri"/>
          <w:szCs w:val="20"/>
          <w:lang w:val="en-US"/>
        </w:rPr>
        <w:t xml:space="preserve"> decreased by 12.8% to CZK 1,292.7 billion compared with the same period in 2023.</w:t>
      </w:r>
    </w:p>
    <w:p w14:paraId="42858321" w14:textId="77777777" w:rsidR="00B7162E" w:rsidRPr="00012DFF" w:rsidRDefault="00B7162E" w:rsidP="00B7162E">
      <w:pPr>
        <w:spacing w:before="120" w:line="276" w:lineRule="auto"/>
        <w:rPr>
          <w:rFonts w:eastAsiaTheme="minorHAnsi" w:cs="Calibri"/>
          <w:b/>
          <w:bCs/>
          <w:szCs w:val="20"/>
          <w:lang w:val="en-US"/>
        </w:rPr>
      </w:pPr>
      <w:r w:rsidRPr="00012DFF">
        <w:rPr>
          <w:rFonts w:eastAsiaTheme="minorHAnsi" w:cs="Calibri"/>
          <w:b/>
          <w:bCs/>
          <w:szCs w:val="20"/>
          <w:lang w:val="en-US"/>
        </w:rPr>
        <w:t>Investments</w:t>
      </w:r>
    </w:p>
    <w:p w14:paraId="17046E85" w14:textId="77777777" w:rsidR="00B7162E" w:rsidRPr="00012DFF" w:rsidRDefault="00B7162E" w:rsidP="00B7162E">
      <w:pPr>
        <w:spacing w:before="120" w:line="276" w:lineRule="auto"/>
        <w:rPr>
          <w:rFonts w:eastAsiaTheme="minorHAnsi" w:cs="Calibri"/>
          <w:szCs w:val="20"/>
          <w:lang w:val="en-US"/>
        </w:rPr>
      </w:pPr>
      <w:r w:rsidRPr="00012DFF">
        <w:rPr>
          <w:rFonts w:eastAsiaTheme="minorHAnsi" w:cs="Calibri"/>
          <w:szCs w:val="20"/>
          <w:lang w:val="en-US"/>
        </w:rPr>
        <w:t>The Group’s cash capital expenditures were CZK 655.6 million in the first nine months of 2024, up 54.7% y-o-y, representing 4.4% of total revenues in this period which is in line with the 2024 guidance (approximately 5% of 2024 revenues). Approximately 56% of investments went to the Czech Republic, 31% to North America and approximately 13% to subsidiaries in other countries, especially Switzerland.</w:t>
      </w:r>
    </w:p>
    <w:p w14:paraId="20109C84" w14:textId="77777777" w:rsidR="00B7162E" w:rsidRPr="00012DFF" w:rsidRDefault="00B7162E" w:rsidP="00B7162E">
      <w:pPr>
        <w:spacing w:before="120" w:line="276" w:lineRule="auto"/>
        <w:rPr>
          <w:rFonts w:eastAsiaTheme="minorHAnsi" w:cs="Calibri"/>
          <w:b/>
          <w:bCs/>
          <w:szCs w:val="20"/>
          <w:lang w:val="en-US"/>
        </w:rPr>
      </w:pPr>
      <w:r w:rsidRPr="00012DFF">
        <w:rPr>
          <w:rFonts w:eastAsiaTheme="minorHAnsi" w:cs="Calibri"/>
          <w:b/>
          <w:bCs/>
          <w:szCs w:val="20"/>
          <w:lang w:val="en-US"/>
        </w:rPr>
        <w:t>2024 Guidance for the rest of the year</w:t>
      </w:r>
    </w:p>
    <w:p w14:paraId="38513045" w14:textId="77777777" w:rsidR="00B7162E" w:rsidRPr="00012DFF" w:rsidRDefault="00B7162E" w:rsidP="00B7162E">
      <w:pPr>
        <w:spacing w:before="120" w:line="276" w:lineRule="auto"/>
        <w:rPr>
          <w:rFonts w:eastAsiaTheme="minorEastAsia" w:cs="Calibri"/>
          <w:lang w:val="en-US"/>
        </w:rPr>
      </w:pPr>
      <w:r w:rsidRPr="00012DFF">
        <w:rPr>
          <w:rFonts w:eastAsiaTheme="minorEastAsia" w:cs="Calibri"/>
          <w:lang w:val="en-US"/>
        </w:rPr>
        <w:t xml:space="preserve">In the context of financial results for the first nine months of 2024, and development as of the date of this announcement, the Company </w:t>
      </w:r>
      <w:r w:rsidRPr="00012DFF">
        <w:rPr>
          <w:rFonts w:eastAsiaTheme="minorEastAsia" w:cs="Calibri"/>
          <w:b/>
          <w:bCs/>
          <w:lang w:val="en-US"/>
        </w:rPr>
        <w:t>confirms</w:t>
      </w:r>
      <w:r w:rsidRPr="00012DFF">
        <w:rPr>
          <w:rFonts w:eastAsiaTheme="minorEastAsia" w:cs="Calibri"/>
          <w:lang w:val="en-US"/>
        </w:rPr>
        <w:t xml:space="preserve"> its guidance for the rest of 2024, including the results of this year's acquisition of Sellier &amp; Bellot.</w:t>
      </w:r>
    </w:p>
    <w:tbl>
      <w:tblPr>
        <w:tblStyle w:val="Mkatabulky"/>
        <w:tblW w:w="0" w:type="auto"/>
        <w:tblLook w:val="04A0" w:firstRow="1" w:lastRow="0" w:firstColumn="1" w:lastColumn="0" w:noHBand="0" w:noVBand="1"/>
      </w:tblPr>
      <w:tblGrid>
        <w:gridCol w:w="2926"/>
        <w:gridCol w:w="2926"/>
        <w:gridCol w:w="2926"/>
      </w:tblGrid>
      <w:tr w:rsidR="00B7162E" w:rsidRPr="00012DFF" w14:paraId="4456070B" w14:textId="77777777" w:rsidTr="00A073FC">
        <w:tc>
          <w:tcPr>
            <w:tcW w:w="2926" w:type="dxa"/>
          </w:tcPr>
          <w:p w14:paraId="1DB5A960" w14:textId="77777777" w:rsidR="00B7162E" w:rsidRPr="00012DFF" w:rsidRDefault="00B7162E" w:rsidP="00A073FC">
            <w:pPr>
              <w:spacing w:before="120" w:after="0"/>
              <w:rPr>
                <w:rFonts w:eastAsiaTheme="minorHAnsi" w:cs="Calibri"/>
                <w:sz w:val="16"/>
                <w:szCs w:val="16"/>
                <w:lang w:val="en-US"/>
              </w:rPr>
            </w:pPr>
            <w:r w:rsidRPr="00012DFF">
              <w:rPr>
                <w:rFonts w:eastAsiaTheme="minorHAnsi" w:cs="Calibri"/>
                <w:sz w:val="16"/>
                <w:szCs w:val="16"/>
                <w:lang w:val="en-US"/>
              </w:rPr>
              <w:t>In 000‘CZK</w:t>
            </w:r>
          </w:p>
        </w:tc>
        <w:tc>
          <w:tcPr>
            <w:tcW w:w="2926" w:type="dxa"/>
          </w:tcPr>
          <w:p w14:paraId="5D2F8756" w14:textId="77777777" w:rsidR="00B7162E" w:rsidRPr="00012DFF" w:rsidRDefault="00B7162E" w:rsidP="00A073FC">
            <w:pPr>
              <w:spacing w:before="120" w:after="0"/>
              <w:jc w:val="right"/>
              <w:rPr>
                <w:rFonts w:eastAsiaTheme="minorHAnsi" w:cs="Calibri"/>
                <w:sz w:val="16"/>
                <w:szCs w:val="16"/>
                <w:lang w:val="en-US"/>
              </w:rPr>
            </w:pPr>
            <w:r w:rsidRPr="00012DFF">
              <w:rPr>
                <w:rFonts w:eastAsiaTheme="minorHAnsi" w:cs="Calibri"/>
                <w:sz w:val="16"/>
                <w:szCs w:val="16"/>
                <w:lang w:val="en-US"/>
              </w:rPr>
              <w:t>Guidance</w:t>
            </w:r>
          </w:p>
        </w:tc>
        <w:tc>
          <w:tcPr>
            <w:tcW w:w="2926" w:type="dxa"/>
          </w:tcPr>
          <w:p w14:paraId="0367E8AE" w14:textId="77777777" w:rsidR="00B7162E" w:rsidRPr="00012DFF" w:rsidRDefault="00B7162E" w:rsidP="00A073FC">
            <w:pPr>
              <w:spacing w:before="120" w:after="0"/>
              <w:jc w:val="right"/>
              <w:rPr>
                <w:rFonts w:eastAsiaTheme="minorHAnsi" w:cs="Calibri"/>
                <w:sz w:val="16"/>
                <w:szCs w:val="16"/>
                <w:lang w:val="en-US"/>
              </w:rPr>
            </w:pPr>
            <w:r w:rsidRPr="00012DFF">
              <w:rPr>
                <w:rFonts w:eastAsiaTheme="minorHAnsi" w:cs="Calibri"/>
                <w:sz w:val="16"/>
                <w:szCs w:val="16"/>
                <w:lang w:val="en-US"/>
              </w:rPr>
              <w:t>y-o-y change in %</w:t>
            </w:r>
          </w:p>
        </w:tc>
      </w:tr>
      <w:tr w:rsidR="00B7162E" w:rsidRPr="00012DFF" w14:paraId="14694CE7" w14:textId="77777777" w:rsidTr="00A073FC">
        <w:tc>
          <w:tcPr>
            <w:tcW w:w="2926" w:type="dxa"/>
          </w:tcPr>
          <w:p w14:paraId="335914CD" w14:textId="77777777" w:rsidR="00B7162E" w:rsidRPr="00012DFF" w:rsidRDefault="00B7162E" w:rsidP="00A073FC">
            <w:pPr>
              <w:spacing w:before="120" w:after="0"/>
              <w:rPr>
                <w:rFonts w:eastAsiaTheme="minorHAnsi" w:cs="Calibri"/>
                <w:b/>
                <w:bCs/>
                <w:sz w:val="16"/>
                <w:szCs w:val="16"/>
                <w:lang w:val="en-US"/>
              </w:rPr>
            </w:pPr>
            <w:r w:rsidRPr="00012DFF">
              <w:rPr>
                <w:rFonts w:eastAsiaTheme="minorHAnsi" w:cs="Calibri"/>
                <w:b/>
                <w:bCs/>
                <w:sz w:val="16"/>
                <w:szCs w:val="16"/>
                <w:lang w:val="en-US"/>
              </w:rPr>
              <w:t>Colt CZ Group standalone</w:t>
            </w:r>
          </w:p>
        </w:tc>
        <w:tc>
          <w:tcPr>
            <w:tcW w:w="2926" w:type="dxa"/>
          </w:tcPr>
          <w:p w14:paraId="7B7FD436" w14:textId="77777777" w:rsidR="00B7162E" w:rsidRPr="00012DFF" w:rsidRDefault="00B7162E" w:rsidP="00A073FC">
            <w:pPr>
              <w:spacing w:before="120" w:after="0"/>
              <w:rPr>
                <w:rFonts w:eastAsiaTheme="minorHAnsi" w:cs="Calibri"/>
                <w:sz w:val="16"/>
                <w:szCs w:val="16"/>
                <w:lang w:val="en-US"/>
              </w:rPr>
            </w:pPr>
          </w:p>
        </w:tc>
        <w:tc>
          <w:tcPr>
            <w:tcW w:w="2926" w:type="dxa"/>
          </w:tcPr>
          <w:p w14:paraId="71FD105A" w14:textId="77777777" w:rsidR="00B7162E" w:rsidRPr="00012DFF" w:rsidRDefault="00B7162E" w:rsidP="00A073FC">
            <w:pPr>
              <w:spacing w:before="120" w:after="0"/>
              <w:rPr>
                <w:rFonts w:eastAsiaTheme="minorHAnsi" w:cs="Calibri"/>
                <w:sz w:val="16"/>
                <w:szCs w:val="16"/>
                <w:lang w:val="en-US"/>
              </w:rPr>
            </w:pPr>
          </w:p>
        </w:tc>
      </w:tr>
      <w:tr w:rsidR="00B7162E" w:rsidRPr="00012DFF" w14:paraId="4B48F0C0" w14:textId="77777777" w:rsidTr="00A073FC">
        <w:tc>
          <w:tcPr>
            <w:tcW w:w="2926" w:type="dxa"/>
          </w:tcPr>
          <w:p w14:paraId="26B7E54E" w14:textId="77777777" w:rsidR="00B7162E" w:rsidRPr="00012DFF" w:rsidRDefault="00B7162E" w:rsidP="00A073FC">
            <w:pPr>
              <w:spacing w:before="120" w:after="0"/>
              <w:jc w:val="right"/>
              <w:rPr>
                <w:rFonts w:eastAsiaTheme="minorHAnsi" w:cs="Calibri"/>
                <w:sz w:val="16"/>
                <w:szCs w:val="16"/>
                <w:lang w:val="en-US"/>
              </w:rPr>
            </w:pPr>
            <w:r w:rsidRPr="00012DFF">
              <w:rPr>
                <w:rFonts w:eastAsiaTheme="minorHAnsi" w:cs="Calibri"/>
                <w:sz w:val="16"/>
                <w:szCs w:val="16"/>
                <w:lang w:val="en-US"/>
              </w:rPr>
              <w:t>Revenues</w:t>
            </w:r>
          </w:p>
        </w:tc>
        <w:tc>
          <w:tcPr>
            <w:tcW w:w="2926" w:type="dxa"/>
          </w:tcPr>
          <w:p w14:paraId="77E49B54" w14:textId="77777777" w:rsidR="00B7162E" w:rsidRPr="00012DFF" w:rsidRDefault="00B7162E" w:rsidP="00A073FC">
            <w:pPr>
              <w:spacing w:before="120" w:after="0"/>
              <w:jc w:val="right"/>
              <w:rPr>
                <w:rFonts w:eastAsiaTheme="minorHAnsi" w:cs="Calibri"/>
                <w:sz w:val="16"/>
                <w:szCs w:val="16"/>
                <w:lang w:val="en-US"/>
              </w:rPr>
            </w:pPr>
            <w:r w:rsidRPr="00012DFF">
              <w:rPr>
                <w:rFonts w:eastAsiaTheme="minorHAnsi" w:cs="Calibri"/>
                <w:sz w:val="16"/>
                <w:szCs w:val="16"/>
                <w:lang w:val="en-US"/>
              </w:rPr>
              <w:t>16,200–17,800</w:t>
            </w:r>
          </w:p>
        </w:tc>
        <w:tc>
          <w:tcPr>
            <w:tcW w:w="2926" w:type="dxa"/>
          </w:tcPr>
          <w:p w14:paraId="1827D5FC" w14:textId="77777777" w:rsidR="00B7162E" w:rsidRPr="00012DFF" w:rsidRDefault="00B7162E" w:rsidP="00A073FC">
            <w:pPr>
              <w:spacing w:before="120" w:after="0"/>
              <w:jc w:val="right"/>
              <w:rPr>
                <w:rFonts w:eastAsiaTheme="minorHAnsi" w:cs="Calibri"/>
                <w:sz w:val="16"/>
                <w:szCs w:val="16"/>
                <w:lang w:val="en-US"/>
              </w:rPr>
            </w:pPr>
            <w:r w:rsidRPr="00012DFF">
              <w:rPr>
                <w:rFonts w:eastAsiaTheme="minorHAnsi" w:cs="Calibri"/>
                <w:sz w:val="16"/>
                <w:szCs w:val="16"/>
                <w:lang w:val="en-US"/>
              </w:rPr>
              <w:t>9.0%–19.8%</w:t>
            </w:r>
          </w:p>
        </w:tc>
      </w:tr>
      <w:tr w:rsidR="00B7162E" w:rsidRPr="00012DFF" w14:paraId="04CCB55E" w14:textId="77777777" w:rsidTr="00A073FC">
        <w:tc>
          <w:tcPr>
            <w:tcW w:w="2926" w:type="dxa"/>
          </w:tcPr>
          <w:p w14:paraId="4848C52C" w14:textId="77777777" w:rsidR="00B7162E" w:rsidRPr="00012DFF" w:rsidRDefault="00B7162E" w:rsidP="00A073FC">
            <w:pPr>
              <w:spacing w:before="120" w:after="0"/>
              <w:jc w:val="right"/>
              <w:rPr>
                <w:rFonts w:eastAsiaTheme="minorHAnsi" w:cs="Calibri"/>
                <w:sz w:val="16"/>
                <w:szCs w:val="16"/>
                <w:lang w:val="en-US"/>
              </w:rPr>
            </w:pPr>
            <w:r w:rsidRPr="00012DFF">
              <w:rPr>
                <w:rFonts w:eastAsiaTheme="minorHAnsi" w:cs="Calibri"/>
                <w:sz w:val="16"/>
                <w:szCs w:val="16"/>
                <w:lang w:val="en-US"/>
              </w:rPr>
              <w:lastRenderedPageBreak/>
              <w:t>Adjusted EBITDA</w:t>
            </w:r>
          </w:p>
        </w:tc>
        <w:tc>
          <w:tcPr>
            <w:tcW w:w="2926" w:type="dxa"/>
          </w:tcPr>
          <w:p w14:paraId="2AC11781" w14:textId="77777777" w:rsidR="00B7162E" w:rsidRPr="00012DFF" w:rsidRDefault="00B7162E" w:rsidP="00A073FC">
            <w:pPr>
              <w:spacing w:before="120" w:after="0"/>
              <w:jc w:val="right"/>
              <w:rPr>
                <w:rFonts w:eastAsiaTheme="minorHAnsi" w:cs="Calibri"/>
                <w:sz w:val="16"/>
                <w:szCs w:val="16"/>
                <w:lang w:val="en-US"/>
              </w:rPr>
            </w:pPr>
            <w:r w:rsidRPr="00012DFF">
              <w:rPr>
                <w:rFonts w:eastAsiaTheme="minorHAnsi" w:cs="Calibri"/>
                <w:sz w:val="16"/>
                <w:szCs w:val="16"/>
                <w:lang w:val="en-US"/>
              </w:rPr>
              <w:t>3,300–3,800</w:t>
            </w:r>
          </w:p>
        </w:tc>
        <w:tc>
          <w:tcPr>
            <w:tcW w:w="2926" w:type="dxa"/>
          </w:tcPr>
          <w:p w14:paraId="4CAF86A1" w14:textId="77777777" w:rsidR="00B7162E" w:rsidRPr="00012DFF" w:rsidRDefault="00B7162E" w:rsidP="00A073FC">
            <w:pPr>
              <w:spacing w:before="120" w:after="0"/>
              <w:jc w:val="right"/>
              <w:rPr>
                <w:rFonts w:eastAsiaTheme="minorHAnsi" w:cs="Calibri"/>
                <w:sz w:val="16"/>
                <w:szCs w:val="16"/>
                <w:lang w:val="en-US"/>
              </w:rPr>
            </w:pPr>
            <w:r w:rsidRPr="00012DFF">
              <w:rPr>
                <w:rFonts w:eastAsiaTheme="minorHAnsi" w:cs="Calibri"/>
                <w:sz w:val="16"/>
                <w:szCs w:val="16"/>
                <w:lang w:val="en-US"/>
              </w:rPr>
              <w:t>8.3%–24.7%</w:t>
            </w:r>
          </w:p>
        </w:tc>
      </w:tr>
      <w:tr w:rsidR="00B7162E" w:rsidRPr="00012DFF" w14:paraId="78F5E97A" w14:textId="77777777" w:rsidTr="00A073FC">
        <w:tc>
          <w:tcPr>
            <w:tcW w:w="2926" w:type="dxa"/>
          </w:tcPr>
          <w:p w14:paraId="3C5699AF" w14:textId="77777777" w:rsidR="00B7162E" w:rsidRPr="00012DFF" w:rsidRDefault="00B7162E" w:rsidP="00A073FC">
            <w:pPr>
              <w:spacing w:before="120" w:after="0"/>
              <w:jc w:val="left"/>
              <w:rPr>
                <w:rFonts w:eastAsiaTheme="minorHAnsi" w:cs="Calibri"/>
                <w:b/>
                <w:bCs/>
                <w:sz w:val="16"/>
                <w:szCs w:val="16"/>
                <w:lang w:val="en-US"/>
              </w:rPr>
            </w:pPr>
            <w:r w:rsidRPr="00012DFF">
              <w:rPr>
                <w:rFonts w:eastAsiaTheme="minorHAnsi" w:cs="Calibri"/>
                <w:b/>
                <w:bCs/>
                <w:sz w:val="16"/>
                <w:szCs w:val="16"/>
                <w:lang w:val="en-US"/>
              </w:rPr>
              <w:t>Colt CZ Group with expected contribution of Sellier &amp; Bellot</w:t>
            </w:r>
          </w:p>
        </w:tc>
        <w:tc>
          <w:tcPr>
            <w:tcW w:w="2926" w:type="dxa"/>
          </w:tcPr>
          <w:p w14:paraId="6152B3CD" w14:textId="77777777" w:rsidR="00B7162E" w:rsidRPr="00012DFF" w:rsidRDefault="00B7162E" w:rsidP="00A073FC">
            <w:pPr>
              <w:spacing w:before="120" w:after="0"/>
              <w:rPr>
                <w:rFonts w:eastAsiaTheme="minorHAnsi" w:cs="Calibri"/>
                <w:sz w:val="16"/>
                <w:szCs w:val="16"/>
                <w:lang w:val="en-US"/>
              </w:rPr>
            </w:pPr>
          </w:p>
        </w:tc>
        <w:tc>
          <w:tcPr>
            <w:tcW w:w="2926" w:type="dxa"/>
          </w:tcPr>
          <w:p w14:paraId="3CC8A886" w14:textId="77777777" w:rsidR="00B7162E" w:rsidRPr="00012DFF" w:rsidRDefault="00B7162E" w:rsidP="00A073FC">
            <w:pPr>
              <w:spacing w:before="120" w:after="0"/>
              <w:jc w:val="right"/>
              <w:rPr>
                <w:rFonts w:eastAsiaTheme="minorHAnsi" w:cs="Calibri"/>
                <w:sz w:val="16"/>
                <w:szCs w:val="16"/>
                <w:lang w:val="en-US"/>
              </w:rPr>
            </w:pPr>
          </w:p>
        </w:tc>
      </w:tr>
      <w:tr w:rsidR="00B7162E" w:rsidRPr="00012DFF" w14:paraId="611FB239" w14:textId="77777777" w:rsidTr="00A073FC">
        <w:tc>
          <w:tcPr>
            <w:tcW w:w="2926" w:type="dxa"/>
          </w:tcPr>
          <w:p w14:paraId="0D0AF47F" w14:textId="77777777" w:rsidR="00B7162E" w:rsidRPr="00012DFF" w:rsidRDefault="00B7162E" w:rsidP="00A073FC">
            <w:pPr>
              <w:spacing w:before="120" w:after="0"/>
              <w:jc w:val="right"/>
              <w:rPr>
                <w:rFonts w:eastAsiaTheme="minorHAnsi" w:cs="Calibri"/>
                <w:sz w:val="16"/>
                <w:szCs w:val="16"/>
                <w:lang w:val="en-US"/>
              </w:rPr>
            </w:pPr>
            <w:r w:rsidRPr="00012DFF">
              <w:rPr>
                <w:rFonts w:eastAsiaTheme="minorHAnsi" w:cs="Calibri"/>
                <w:sz w:val="16"/>
                <w:szCs w:val="16"/>
                <w:lang w:val="en-US"/>
              </w:rPr>
              <w:t>Revenues</w:t>
            </w:r>
          </w:p>
        </w:tc>
        <w:tc>
          <w:tcPr>
            <w:tcW w:w="2926" w:type="dxa"/>
          </w:tcPr>
          <w:p w14:paraId="78525352" w14:textId="77777777" w:rsidR="00B7162E" w:rsidRPr="00012DFF" w:rsidRDefault="00B7162E" w:rsidP="00A073FC">
            <w:pPr>
              <w:spacing w:before="120" w:after="0"/>
              <w:jc w:val="right"/>
              <w:rPr>
                <w:rFonts w:eastAsiaTheme="minorHAnsi" w:cs="Calibri"/>
                <w:sz w:val="16"/>
                <w:szCs w:val="16"/>
                <w:lang w:val="en-US"/>
              </w:rPr>
            </w:pPr>
            <w:r w:rsidRPr="00012DFF">
              <w:rPr>
                <w:rFonts w:eastAsiaTheme="minorHAnsi" w:cs="Calibri"/>
                <w:sz w:val="16"/>
                <w:szCs w:val="16"/>
                <w:lang w:val="en-US"/>
              </w:rPr>
              <w:t>20,000–22,000</w:t>
            </w:r>
          </w:p>
        </w:tc>
        <w:tc>
          <w:tcPr>
            <w:tcW w:w="2926" w:type="dxa"/>
          </w:tcPr>
          <w:p w14:paraId="095370EC" w14:textId="77777777" w:rsidR="00B7162E" w:rsidRPr="00012DFF" w:rsidRDefault="00B7162E" w:rsidP="00A073FC">
            <w:pPr>
              <w:spacing w:before="120" w:after="0"/>
              <w:jc w:val="right"/>
              <w:rPr>
                <w:rFonts w:eastAsiaTheme="minorHAnsi" w:cs="Calibri"/>
                <w:sz w:val="16"/>
                <w:szCs w:val="16"/>
                <w:lang w:val="en-US"/>
              </w:rPr>
            </w:pPr>
            <w:r w:rsidRPr="00012DFF">
              <w:rPr>
                <w:rFonts w:eastAsiaTheme="minorHAnsi" w:cs="Calibri"/>
                <w:sz w:val="16"/>
                <w:szCs w:val="16"/>
                <w:lang w:val="en-US"/>
              </w:rPr>
              <w:t>34.6%–48.1%</w:t>
            </w:r>
          </w:p>
        </w:tc>
      </w:tr>
      <w:tr w:rsidR="00B7162E" w:rsidRPr="00012DFF" w14:paraId="561583FC" w14:textId="77777777" w:rsidTr="00A073FC">
        <w:tc>
          <w:tcPr>
            <w:tcW w:w="2926" w:type="dxa"/>
          </w:tcPr>
          <w:p w14:paraId="18052028" w14:textId="77777777" w:rsidR="00B7162E" w:rsidRPr="00012DFF" w:rsidRDefault="00B7162E" w:rsidP="00A073FC">
            <w:pPr>
              <w:spacing w:before="120" w:after="0"/>
              <w:jc w:val="right"/>
              <w:rPr>
                <w:rFonts w:eastAsiaTheme="minorHAnsi" w:cs="Calibri"/>
                <w:sz w:val="16"/>
                <w:szCs w:val="16"/>
                <w:lang w:val="en-US"/>
              </w:rPr>
            </w:pPr>
            <w:r w:rsidRPr="00012DFF">
              <w:rPr>
                <w:rFonts w:eastAsiaTheme="minorHAnsi" w:cs="Calibri"/>
                <w:sz w:val="16"/>
                <w:szCs w:val="16"/>
                <w:lang w:val="en-US"/>
              </w:rPr>
              <w:t>Adjusted EBITDA</w:t>
            </w:r>
          </w:p>
        </w:tc>
        <w:tc>
          <w:tcPr>
            <w:tcW w:w="2926" w:type="dxa"/>
          </w:tcPr>
          <w:p w14:paraId="17AF6424" w14:textId="77777777" w:rsidR="00B7162E" w:rsidRPr="00012DFF" w:rsidRDefault="00B7162E" w:rsidP="00A073FC">
            <w:pPr>
              <w:spacing w:before="120" w:after="0"/>
              <w:jc w:val="right"/>
              <w:rPr>
                <w:rFonts w:eastAsiaTheme="minorHAnsi" w:cs="Calibri"/>
                <w:sz w:val="16"/>
                <w:szCs w:val="16"/>
                <w:lang w:val="en-US"/>
              </w:rPr>
            </w:pPr>
            <w:r w:rsidRPr="00012DFF">
              <w:rPr>
                <w:rFonts w:eastAsiaTheme="minorHAnsi" w:cs="Calibri"/>
                <w:sz w:val="16"/>
                <w:szCs w:val="16"/>
                <w:lang w:val="en-US"/>
              </w:rPr>
              <w:t>4,300–4,700</w:t>
            </w:r>
          </w:p>
        </w:tc>
        <w:tc>
          <w:tcPr>
            <w:tcW w:w="2926" w:type="dxa"/>
          </w:tcPr>
          <w:p w14:paraId="3EA1891A" w14:textId="77777777" w:rsidR="00B7162E" w:rsidRPr="00012DFF" w:rsidRDefault="00B7162E" w:rsidP="00A073FC">
            <w:pPr>
              <w:spacing w:before="120" w:after="0"/>
              <w:jc w:val="right"/>
              <w:rPr>
                <w:rFonts w:eastAsiaTheme="minorHAnsi" w:cs="Calibri"/>
                <w:sz w:val="16"/>
                <w:szCs w:val="16"/>
                <w:lang w:val="en-US"/>
              </w:rPr>
            </w:pPr>
            <w:r w:rsidRPr="00012DFF">
              <w:rPr>
                <w:rFonts w:eastAsiaTheme="minorHAnsi" w:cs="Calibri"/>
                <w:sz w:val="16"/>
                <w:szCs w:val="16"/>
                <w:lang w:val="en-US"/>
              </w:rPr>
              <w:t>41.1%–54.2%</w:t>
            </w:r>
          </w:p>
        </w:tc>
      </w:tr>
      <w:tr w:rsidR="00B7162E" w:rsidRPr="00012DFF" w14:paraId="7B3B4FD1" w14:textId="77777777" w:rsidTr="00A073FC">
        <w:tc>
          <w:tcPr>
            <w:tcW w:w="2926" w:type="dxa"/>
          </w:tcPr>
          <w:p w14:paraId="127536B6" w14:textId="77777777" w:rsidR="00B7162E" w:rsidRPr="00012DFF" w:rsidRDefault="00B7162E" w:rsidP="00A073FC">
            <w:pPr>
              <w:spacing w:before="120" w:after="0"/>
              <w:jc w:val="left"/>
              <w:rPr>
                <w:rFonts w:eastAsiaTheme="minorHAnsi" w:cs="Calibri"/>
                <w:b/>
                <w:bCs/>
                <w:sz w:val="16"/>
                <w:szCs w:val="16"/>
                <w:lang w:val="en-US"/>
              </w:rPr>
            </w:pPr>
            <w:r w:rsidRPr="00012DFF">
              <w:rPr>
                <w:rFonts w:eastAsiaTheme="minorHAnsi" w:cs="Calibri"/>
                <w:b/>
                <w:bCs/>
                <w:sz w:val="16"/>
                <w:szCs w:val="16"/>
                <w:lang w:val="en-US"/>
              </w:rPr>
              <w:t>Colt CZ Group with Sellier &amp; Bellot pro-forma FY 2024</w:t>
            </w:r>
          </w:p>
        </w:tc>
        <w:tc>
          <w:tcPr>
            <w:tcW w:w="2926" w:type="dxa"/>
          </w:tcPr>
          <w:p w14:paraId="35C0A7A1" w14:textId="77777777" w:rsidR="00B7162E" w:rsidRPr="00012DFF" w:rsidRDefault="00B7162E" w:rsidP="00A073FC">
            <w:pPr>
              <w:spacing w:before="120" w:after="0"/>
              <w:rPr>
                <w:rFonts w:eastAsiaTheme="minorHAnsi" w:cs="Calibri"/>
                <w:sz w:val="16"/>
                <w:szCs w:val="16"/>
                <w:lang w:val="en-US"/>
              </w:rPr>
            </w:pPr>
          </w:p>
        </w:tc>
        <w:tc>
          <w:tcPr>
            <w:tcW w:w="2926" w:type="dxa"/>
          </w:tcPr>
          <w:p w14:paraId="3AEB9837" w14:textId="77777777" w:rsidR="00B7162E" w:rsidRPr="00012DFF" w:rsidRDefault="00B7162E" w:rsidP="00A073FC">
            <w:pPr>
              <w:spacing w:before="120" w:after="0"/>
              <w:jc w:val="right"/>
              <w:rPr>
                <w:rFonts w:eastAsiaTheme="minorHAnsi" w:cs="Calibri"/>
                <w:sz w:val="16"/>
                <w:szCs w:val="16"/>
                <w:lang w:val="en-US"/>
              </w:rPr>
            </w:pPr>
          </w:p>
        </w:tc>
      </w:tr>
      <w:tr w:rsidR="00B7162E" w:rsidRPr="00012DFF" w14:paraId="08AACAEE" w14:textId="77777777" w:rsidTr="00A073FC">
        <w:tc>
          <w:tcPr>
            <w:tcW w:w="2926" w:type="dxa"/>
          </w:tcPr>
          <w:p w14:paraId="2D71FCF6" w14:textId="77777777" w:rsidR="00B7162E" w:rsidRPr="00012DFF" w:rsidRDefault="00B7162E" w:rsidP="00A073FC">
            <w:pPr>
              <w:spacing w:before="120" w:after="0"/>
              <w:jc w:val="right"/>
              <w:rPr>
                <w:rFonts w:eastAsiaTheme="minorHAnsi" w:cs="Calibri"/>
                <w:sz w:val="16"/>
                <w:szCs w:val="16"/>
                <w:lang w:val="en-US"/>
              </w:rPr>
            </w:pPr>
            <w:r w:rsidRPr="00012DFF">
              <w:rPr>
                <w:rFonts w:eastAsiaTheme="minorHAnsi" w:cs="Calibri"/>
                <w:sz w:val="16"/>
                <w:szCs w:val="16"/>
                <w:lang w:val="en-US"/>
              </w:rPr>
              <w:t>Revenues</w:t>
            </w:r>
          </w:p>
        </w:tc>
        <w:tc>
          <w:tcPr>
            <w:tcW w:w="2926" w:type="dxa"/>
          </w:tcPr>
          <w:p w14:paraId="090242E9" w14:textId="77777777" w:rsidR="00B7162E" w:rsidRPr="00012DFF" w:rsidRDefault="00B7162E" w:rsidP="00A073FC">
            <w:pPr>
              <w:spacing w:before="120" w:after="0"/>
              <w:jc w:val="right"/>
              <w:rPr>
                <w:rFonts w:eastAsiaTheme="minorHAnsi" w:cs="Calibri"/>
                <w:sz w:val="16"/>
                <w:szCs w:val="16"/>
                <w:lang w:val="en-US"/>
              </w:rPr>
            </w:pPr>
            <w:r w:rsidRPr="00012DFF">
              <w:rPr>
                <w:rFonts w:eastAsiaTheme="minorHAnsi" w:cs="Calibri"/>
                <w:sz w:val="16"/>
                <w:szCs w:val="16"/>
                <w:lang w:val="en-US"/>
              </w:rPr>
              <w:t>23,000–25,000</w:t>
            </w:r>
          </w:p>
        </w:tc>
        <w:tc>
          <w:tcPr>
            <w:tcW w:w="2926" w:type="dxa"/>
          </w:tcPr>
          <w:p w14:paraId="36CD9A72" w14:textId="77777777" w:rsidR="00B7162E" w:rsidRPr="00012DFF" w:rsidRDefault="00B7162E" w:rsidP="00A073FC">
            <w:pPr>
              <w:spacing w:before="120" w:after="0"/>
              <w:jc w:val="right"/>
              <w:rPr>
                <w:rFonts w:eastAsiaTheme="minorHAnsi" w:cs="Calibri"/>
                <w:sz w:val="16"/>
                <w:szCs w:val="16"/>
                <w:lang w:val="en-US"/>
              </w:rPr>
            </w:pPr>
            <w:r w:rsidRPr="00012DFF">
              <w:rPr>
                <w:rFonts w:eastAsiaTheme="minorHAnsi" w:cs="Calibri"/>
                <w:sz w:val="16"/>
                <w:szCs w:val="16"/>
                <w:lang w:val="en-US"/>
              </w:rPr>
              <w:t>54.8%–68.3%</w:t>
            </w:r>
          </w:p>
        </w:tc>
      </w:tr>
      <w:tr w:rsidR="00B7162E" w:rsidRPr="00012DFF" w14:paraId="1DDCA7CE" w14:textId="77777777" w:rsidTr="00A073FC">
        <w:tc>
          <w:tcPr>
            <w:tcW w:w="2926" w:type="dxa"/>
          </w:tcPr>
          <w:p w14:paraId="1B37B2D4" w14:textId="77777777" w:rsidR="00B7162E" w:rsidRPr="00012DFF" w:rsidRDefault="00B7162E" w:rsidP="00A073FC">
            <w:pPr>
              <w:spacing w:before="120" w:after="0"/>
              <w:jc w:val="right"/>
              <w:rPr>
                <w:rFonts w:eastAsiaTheme="minorHAnsi" w:cs="Calibri"/>
                <w:sz w:val="16"/>
                <w:szCs w:val="16"/>
                <w:lang w:val="en-US"/>
              </w:rPr>
            </w:pPr>
            <w:r w:rsidRPr="00012DFF">
              <w:rPr>
                <w:rFonts w:eastAsiaTheme="minorHAnsi" w:cs="Calibri"/>
                <w:sz w:val="16"/>
                <w:szCs w:val="16"/>
                <w:lang w:val="en-US"/>
              </w:rPr>
              <w:t>Adjusted EBITDA</w:t>
            </w:r>
          </w:p>
        </w:tc>
        <w:tc>
          <w:tcPr>
            <w:tcW w:w="2926" w:type="dxa"/>
          </w:tcPr>
          <w:p w14:paraId="42D4227E" w14:textId="77777777" w:rsidR="00B7162E" w:rsidRPr="00012DFF" w:rsidRDefault="00B7162E" w:rsidP="00A073FC">
            <w:pPr>
              <w:spacing w:before="120" w:after="0"/>
              <w:jc w:val="right"/>
              <w:rPr>
                <w:rFonts w:eastAsiaTheme="minorHAnsi" w:cs="Calibri"/>
                <w:sz w:val="16"/>
                <w:szCs w:val="16"/>
                <w:lang w:val="en-US"/>
              </w:rPr>
            </w:pPr>
            <w:r w:rsidRPr="00012DFF">
              <w:rPr>
                <w:rFonts w:eastAsiaTheme="minorHAnsi" w:cs="Calibri"/>
                <w:sz w:val="16"/>
                <w:szCs w:val="16"/>
                <w:lang w:val="en-US"/>
              </w:rPr>
              <w:t>5,200–5,600</w:t>
            </w:r>
          </w:p>
        </w:tc>
        <w:tc>
          <w:tcPr>
            <w:tcW w:w="2926" w:type="dxa"/>
          </w:tcPr>
          <w:p w14:paraId="5F3C0D72" w14:textId="77777777" w:rsidR="00B7162E" w:rsidRPr="00012DFF" w:rsidRDefault="00B7162E" w:rsidP="00A073FC">
            <w:pPr>
              <w:spacing w:before="120" w:after="0"/>
              <w:jc w:val="right"/>
              <w:rPr>
                <w:rFonts w:eastAsiaTheme="minorHAnsi" w:cs="Calibri"/>
                <w:sz w:val="16"/>
                <w:szCs w:val="16"/>
                <w:lang w:val="en-US"/>
              </w:rPr>
            </w:pPr>
            <w:r w:rsidRPr="00012DFF">
              <w:rPr>
                <w:rFonts w:eastAsiaTheme="minorHAnsi" w:cs="Calibri"/>
                <w:sz w:val="16"/>
                <w:szCs w:val="16"/>
                <w:lang w:val="en-US"/>
              </w:rPr>
              <w:t>70.6%–83.7%</w:t>
            </w:r>
          </w:p>
        </w:tc>
      </w:tr>
    </w:tbl>
    <w:p w14:paraId="351E5810" w14:textId="77777777" w:rsidR="00B7162E" w:rsidRPr="00012DFF" w:rsidRDefault="00B7162E" w:rsidP="00B7162E">
      <w:pPr>
        <w:spacing w:before="120" w:line="276" w:lineRule="auto"/>
        <w:rPr>
          <w:rFonts w:cs="Calibri"/>
          <w:color w:val="000000" w:themeColor="text1"/>
          <w:shd w:val="clear" w:color="auto" w:fill="FFFFFF"/>
          <w:lang w:val="en-US"/>
        </w:rPr>
      </w:pPr>
      <w:r w:rsidRPr="00012DFF">
        <w:rPr>
          <w:rFonts w:cs="Calibri"/>
          <w:color w:val="000000" w:themeColor="text1"/>
          <w:shd w:val="clear" w:color="auto" w:fill="FFFFFF"/>
          <w:lang w:val="en-US"/>
        </w:rPr>
        <w:t xml:space="preserve">The capital </w:t>
      </w:r>
      <w:proofErr w:type="gramStart"/>
      <w:r w:rsidRPr="00012DFF">
        <w:rPr>
          <w:rFonts w:cs="Calibri"/>
          <w:color w:val="000000" w:themeColor="text1"/>
          <w:shd w:val="clear" w:color="auto" w:fill="FFFFFF"/>
          <w:lang w:val="en-US"/>
        </w:rPr>
        <w:t>expenditures</w:t>
      </w:r>
      <w:proofErr w:type="gramEnd"/>
      <w:r w:rsidRPr="00012DFF">
        <w:rPr>
          <w:rFonts w:cs="Calibri"/>
          <w:color w:val="000000" w:themeColor="text1"/>
          <w:shd w:val="clear" w:color="auto" w:fill="FFFFFF"/>
          <w:lang w:val="en-US"/>
        </w:rPr>
        <w:t xml:space="preserve"> of the Group in 2024 may reach CZK 1-1.2 billion which represents a 5% share of the 2024 expected revenues and is in line with the medium-term target of the Company.</w:t>
      </w:r>
    </w:p>
    <w:p w14:paraId="68252990" w14:textId="77777777" w:rsidR="00B7162E" w:rsidRPr="00012DFF" w:rsidRDefault="00B7162E" w:rsidP="00B7162E">
      <w:pPr>
        <w:rPr>
          <w:b/>
          <w:bCs/>
          <w:szCs w:val="20"/>
          <w:lang w:val="en-US"/>
        </w:rPr>
      </w:pPr>
      <w:r w:rsidRPr="00012DFF">
        <w:rPr>
          <w:b/>
          <w:bCs/>
          <w:szCs w:val="20"/>
          <w:lang w:val="en-US"/>
        </w:rPr>
        <w:t>Completion of the sale of shares through an accelerated bookbuilding in October 2024</w:t>
      </w:r>
    </w:p>
    <w:p w14:paraId="74B86BA6" w14:textId="77777777" w:rsidR="00B7162E" w:rsidRPr="00012DFF" w:rsidRDefault="00B7162E" w:rsidP="00B7162E">
      <w:pPr>
        <w:rPr>
          <w:rFonts w:cs="Calibri"/>
          <w:color w:val="000000" w:themeColor="text1"/>
          <w:szCs w:val="20"/>
          <w:shd w:val="clear" w:color="auto" w:fill="FFFFFF"/>
          <w:lang w:val="en-US"/>
        </w:rPr>
      </w:pPr>
      <w:r w:rsidRPr="00012DFF">
        <w:rPr>
          <w:rFonts w:cs="Calibri"/>
          <w:color w:val="000000" w:themeColor="text1"/>
          <w:szCs w:val="20"/>
          <w:shd w:val="clear" w:color="auto" w:fill="FFFFFF"/>
          <w:lang w:val="en-US"/>
        </w:rPr>
        <w:t xml:space="preserve">In October 2024, the Company successfully completed ABB of 3,900,000 new registered </w:t>
      </w:r>
      <w:r w:rsidRPr="00012DFF">
        <w:rPr>
          <w:noProof/>
          <w:lang w:val="en-US"/>
        </w:rPr>
        <w:t>book-entry shares</w:t>
      </w:r>
      <w:r w:rsidRPr="00012DFF">
        <w:rPr>
          <w:rFonts w:cs="Calibri"/>
          <w:color w:val="000000" w:themeColor="text1"/>
          <w:szCs w:val="20"/>
          <w:shd w:val="clear" w:color="auto" w:fill="FFFFFF"/>
          <w:lang w:val="en-US"/>
        </w:rPr>
        <w:t xml:space="preserve">. In the offering, the price per share was set at CZK 575, which at the time of the offering represented only a 7% discount </w:t>
      </w:r>
      <w:proofErr w:type="gramStart"/>
      <w:r w:rsidRPr="00012DFF">
        <w:rPr>
          <w:rFonts w:cs="Calibri"/>
          <w:color w:val="000000" w:themeColor="text1"/>
          <w:szCs w:val="20"/>
          <w:shd w:val="clear" w:color="auto" w:fill="FFFFFF"/>
          <w:lang w:val="en-US"/>
        </w:rPr>
        <w:t>to</w:t>
      </w:r>
      <w:proofErr w:type="gramEnd"/>
      <w:r w:rsidRPr="00012DFF">
        <w:rPr>
          <w:rFonts w:cs="Calibri"/>
          <w:color w:val="000000" w:themeColor="text1"/>
          <w:szCs w:val="20"/>
          <w:shd w:val="clear" w:color="auto" w:fill="FFFFFF"/>
          <w:lang w:val="en-US"/>
        </w:rPr>
        <w:t xml:space="preserve"> the market price. Investor demand at this price exceeded the number of shares sold by roughly 1.5x. The ABB attracted a number of new institutional investors and Colt </w:t>
      </w:r>
      <w:proofErr w:type="gramStart"/>
      <w:r w:rsidRPr="00012DFF">
        <w:rPr>
          <w:rFonts w:cs="Calibri"/>
          <w:color w:val="000000" w:themeColor="text1"/>
          <w:szCs w:val="20"/>
          <w:shd w:val="clear" w:color="auto" w:fill="FFFFFF"/>
          <w:lang w:val="en-US"/>
        </w:rPr>
        <w:t>CZ  successfully</w:t>
      </w:r>
      <w:proofErr w:type="gramEnd"/>
      <w:r w:rsidRPr="00012DFF">
        <w:rPr>
          <w:rFonts w:cs="Calibri"/>
          <w:color w:val="000000" w:themeColor="text1"/>
          <w:szCs w:val="20"/>
          <w:shd w:val="clear" w:color="auto" w:fill="FFFFFF"/>
          <w:lang w:val="en-US"/>
        </w:rPr>
        <w:t xml:space="preserve"> diversified its shareholder base. The transaction volume of CZK 2.24 billion (approx. EUR 90 million) was the largest ABB on the Czech capital market since 2016.</w:t>
      </w:r>
    </w:p>
    <w:p w14:paraId="6206C68C" w14:textId="77777777" w:rsidR="00B7162E" w:rsidRPr="00012DFF" w:rsidRDefault="00B7162E" w:rsidP="00B7162E">
      <w:pPr>
        <w:rPr>
          <w:rFonts w:cs="Calibri"/>
          <w:color w:val="000000" w:themeColor="text1"/>
          <w:shd w:val="clear" w:color="auto" w:fill="FFFFFF"/>
          <w:lang w:val="en-US"/>
        </w:rPr>
      </w:pPr>
      <w:r w:rsidRPr="62E0C7F7">
        <w:rPr>
          <w:rFonts w:cs="Calibri"/>
          <w:color w:val="000000" w:themeColor="text1"/>
          <w:shd w:val="clear" w:color="auto" w:fill="FFFFFF"/>
          <w:lang w:val="en-US"/>
        </w:rPr>
        <w:t xml:space="preserve">The settlement took place on October 18, 2024. The capital increase resulted in a change in the ownership structure. The stake of the majority owner </w:t>
      </w:r>
      <w:proofErr w:type="spellStart"/>
      <w:r w:rsidRPr="62E0C7F7">
        <w:rPr>
          <w:rFonts w:cs="Calibri"/>
          <w:color w:val="000000" w:themeColor="text1"/>
          <w:shd w:val="clear" w:color="auto" w:fill="FFFFFF"/>
          <w:lang w:val="en-US"/>
        </w:rPr>
        <w:t>Česká</w:t>
      </w:r>
      <w:proofErr w:type="spellEnd"/>
      <w:r w:rsidRPr="62E0C7F7">
        <w:rPr>
          <w:rFonts w:cs="Calibri"/>
          <w:color w:val="000000" w:themeColor="text1"/>
          <w:shd w:val="clear" w:color="auto" w:fill="FFFFFF"/>
          <w:lang w:val="en-US"/>
        </w:rPr>
        <w:t xml:space="preserve"> </w:t>
      </w:r>
      <w:proofErr w:type="spellStart"/>
      <w:r w:rsidRPr="62E0C7F7">
        <w:rPr>
          <w:rFonts w:cs="Calibri"/>
          <w:color w:val="000000" w:themeColor="text1"/>
          <w:shd w:val="clear" w:color="auto" w:fill="FFFFFF"/>
          <w:lang w:val="en-US"/>
        </w:rPr>
        <w:t>zbrojovka</w:t>
      </w:r>
      <w:proofErr w:type="spellEnd"/>
      <w:r w:rsidRPr="62E0C7F7">
        <w:rPr>
          <w:rFonts w:cs="Calibri"/>
          <w:color w:val="000000" w:themeColor="text1"/>
          <w:shd w:val="clear" w:color="auto" w:fill="FFFFFF"/>
          <w:lang w:val="en-US"/>
        </w:rPr>
        <w:t xml:space="preserve"> Partners SE, after the sale, </w:t>
      </w:r>
      <w:proofErr w:type="gramStart"/>
      <w:r w:rsidRPr="62E0C7F7">
        <w:rPr>
          <w:rFonts w:cs="Calibri"/>
          <w:color w:val="000000" w:themeColor="text1"/>
          <w:shd w:val="clear" w:color="auto" w:fill="FFFFFF"/>
          <w:lang w:val="en-US"/>
        </w:rPr>
        <w:t>equaled  51.8</w:t>
      </w:r>
      <w:proofErr w:type="gramEnd"/>
      <w:r w:rsidRPr="62E0C7F7">
        <w:rPr>
          <w:rFonts w:cs="Calibri"/>
          <w:color w:val="000000" w:themeColor="text1"/>
          <w:shd w:val="clear" w:color="auto" w:fill="FFFFFF"/>
          <w:lang w:val="en-US"/>
        </w:rPr>
        <w:t xml:space="preserve">%, the stake of CBC Europe </w:t>
      </w:r>
      <w:proofErr w:type="spellStart"/>
      <w:r w:rsidRPr="62E0C7F7">
        <w:rPr>
          <w:rFonts w:cs="Calibri"/>
          <w:color w:val="000000" w:themeColor="text1"/>
          <w:shd w:val="clear" w:color="auto" w:fill="FFFFFF"/>
          <w:lang w:val="en-US"/>
        </w:rPr>
        <w:t>S.à</w:t>
      </w:r>
      <w:proofErr w:type="spellEnd"/>
      <w:r w:rsidRPr="62E0C7F7">
        <w:rPr>
          <w:rFonts w:cs="Calibri"/>
          <w:color w:val="000000" w:themeColor="text1"/>
          <w:shd w:val="clear" w:color="auto" w:fill="FFFFFF"/>
          <w:lang w:val="en-US"/>
        </w:rPr>
        <w:t xml:space="preserve"> </w:t>
      </w:r>
      <w:proofErr w:type="spellStart"/>
      <w:r w:rsidRPr="62E0C7F7">
        <w:rPr>
          <w:rFonts w:cs="Calibri"/>
          <w:color w:val="000000" w:themeColor="text1"/>
          <w:shd w:val="clear" w:color="auto" w:fill="FFFFFF"/>
          <w:lang w:val="en-US"/>
        </w:rPr>
        <w:t>r.l</w:t>
      </w:r>
      <w:proofErr w:type="spellEnd"/>
      <w:r w:rsidRPr="62E0C7F7">
        <w:rPr>
          <w:rFonts w:cs="Calibri"/>
          <w:color w:val="000000" w:themeColor="text1"/>
          <w:shd w:val="clear" w:color="auto" w:fill="FFFFFF"/>
          <w:lang w:val="en-US"/>
        </w:rPr>
        <w:t xml:space="preserve">. was 24.4% and the free float was 23.8%. The Company intends to use the sale proceeds for investments in further growth and </w:t>
      </w:r>
      <w:proofErr w:type="gramStart"/>
      <w:r w:rsidRPr="62E0C7F7">
        <w:rPr>
          <w:rFonts w:cs="Calibri"/>
          <w:color w:val="000000" w:themeColor="text1"/>
          <w:shd w:val="clear" w:color="auto" w:fill="FFFFFF"/>
          <w:lang w:val="en-US"/>
        </w:rPr>
        <w:t>reduction</w:t>
      </w:r>
      <w:proofErr w:type="gramEnd"/>
      <w:r w:rsidRPr="62E0C7F7">
        <w:rPr>
          <w:rFonts w:cs="Calibri"/>
          <w:color w:val="000000" w:themeColor="text1"/>
          <w:shd w:val="clear" w:color="auto" w:fill="FFFFFF"/>
          <w:lang w:val="en-US"/>
        </w:rPr>
        <w:t xml:space="preserve"> of existing debt.</w:t>
      </w:r>
    </w:p>
    <w:p w14:paraId="38FBE3D1" w14:textId="77777777" w:rsidR="00B7162E" w:rsidRPr="00012DFF" w:rsidRDefault="00B7162E" w:rsidP="00B7162E">
      <w:pPr>
        <w:rPr>
          <w:szCs w:val="20"/>
          <w:lang w:val="en-US"/>
        </w:rPr>
      </w:pPr>
      <w:r w:rsidRPr="00012DFF">
        <w:rPr>
          <w:b/>
          <w:bCs/>
          <w:szCs w:val="20"/>
          <w:lang w:val="en-US"/>
        </w:rPr>
        <w:t>About Colt CZ Group SE</w:t>
      </w:r>
      <w:r w:rsidRPr="00012DFF">
        <w:rPr>
          <w:szCs w:val="20"/>
          <w:lang w:val="en-US"/>
        </w:rPr>
        <w:t> </w:t>
      </w:r>
    </w:p>
    <w:p w14:paraId="325FA58A" w14:textId="77777777" w:rsidR="00B7162E" w:rsidRPr="00012DFF" w:rsidRDefault="00B7162E" w:rsidP="00B7162E">
      <w:pPr>
        <w:rPr>
          <w:lang w:val="en-US"/>
        </w:rPr>
      </w:pPr>
      <w:r w:rsidRPr="00012DFF">
        <w:rPr>
          <w:lang w:val="en-US"/>
        </w:rPr>
        <w:t>Colt CZ Group (Colt CZ) is one of the leading producers of firearms and ammunition for military and law enforcement, personal defense, hunting, sport shooting, and other commercial use. It markets and sells its products mainly under the Colt, CZ (</w:t>
      </w:r>
      <w:proofErr w:type="spellStart"/>
      <w:r w:rsidRPr="00012DFF">
        <w:rPr>
          <w:lang w:val="en-US"/>
        </w:rPr>
        <w:t>Česká</w:t>
      </w:r>
      <w:proofErr w:type="spellEnd"/>
      <w:r w:rsidRPr="00012DFF">
        <w:rPr>
          <w:lang w:val="en-US"/>
        </w:rPr>
        <w:t xml:space="preserve"> </w:t>
      </w:r>
      <w:proofErr w:type="spellStart"/>
      <w:r w:rsidRPr="00012DFF">
        <w:rPr>
          <w:lang w:val="en-US"/>
        </w:rPr>
        <w:t>zbrojovka</w:t>
      </w:r>
      <w:proofErr w:type="spellEnd"/>
      <w:r w:rsidRPr="00012DFF">
        <w:rPr>
          <w:lang w:val="en-US"/>
        </w:rPr>
        <w:t xml:space="preserve">), Colt Canada, CZ-USA, Dan Wesson, Sellier &amp; Bellot, </w:t>
      </w:r>
      <w:proofErr w:type="spellStart"/>
      <w:r w:rsidRPr="00012DFF">
        <w:rPr>
          <w:lang w:val="en-US"/>
        </w:rPr>
        <w:t>swissAA</w:t>
      </w:r>
      <w:proofErr w:type="spellEnd"/>
      <w:r w:rsidRPr="00012DFF">
        <w:rPr>
          <w:lang w:val="en-US"/>
        </w:rPr>
        <w:t xml:space="preserve">, </w:t>
      </w:r>
      <w:proofErr w:type="spellStart"/>
      <w:r w:rsidRPr="00012DFF">
        <w:rPr>
          <w:lang w:val="en-US"/>
        </w:rPr>
        <w:t>Spuhr</w:t>
      </w:r>
      <w:proofErr w:type="spellEnd"/>
      <w:r w:rsidRPr="00012DFF">
        <w:rPr>
          <w:lang w:val="en-US"/>
        </w:rPr>
        <w:t xml:space="preserve"> and 4M Systems brands.</w:t>
      </w:r>
    </w:p>
    <w:p w14:paraId="1632E952" w14:textId="7A81A950" w:rsidR="00697D5F" w:rsidRPr="00012DFF" w:rsidRDefault="00B7162E" w:rsidP="00697D5F">
      <w:pPr>
        <w:rPr>
          <w:rFonts w:cs="Calibri"/>
          <w:i/>
          <w:iCs/>
          <w:color w:val="000000" w:themeColor="text1"/>
          <w:sz w:val="22"/>
          <w:szCs w:val="22"/>
          <w:lang w:val="en-US"/>
        </w:rPr>
      </w:pPr>
      <w:r w:rsidRPr="00012DFF">
        <w:rPr>
          <w:lang w:val="en-US"/>
        </w:rPr>
        <w:t xml:space="preserve">Colt CZ Group is headquartered in the Czech Republic and employs more than 3,600 people in its production facilities in the Czech Republic, the United States, Canada, Sweden, Switzerland, and Hungary. Colt CZ has been listed on the Prague Stock Exchange since 2020 and the majority shareholder is </w:t>
      </w:r>
      <w:proofErr w:type="spellStart"/>
      <w:r w:rsidRPr="00012DFF">
        <w:rPr>
          <w:lang w:val="en-US"/>
        </w:rPr>
        <w:t>Česká</w:t>
      </w:r>
      <w:proofErr w:type="spellEnd"/>
      <w:r w:rsidRPr="00012DFF">
        <w:rPr>
          <w:lang w:val="en-US"/>
        </w:rPr>
        <w:t xml:space="preserve"> </w:t>
      </w:r>
      <w:proofErr w:type="spellStart"/>
      <w:r w:rsidRPr="00012DFF">
        <w:rPr>
          <w:lang w:val="en-US"/>
        </w:rPr>
        <w:t>zbrojovka</w:t>
      </w:r>
      <w:proofErr w:type="spellEnd"/>
      <w:r w:rsidRPr="00012DFF">
        <w:rPr>
          <w:lang w:val="en-US"/>
        </w:rPr>
        <w:t xml:space="preserve"> Partners SE holding.</w:t>
      </w:r>
    </w:p>
    <w:p w14:paraId="0ED7E047" w14:textId="77777777" w:rsidR="00F22C2B" w:rsidRPr="00012DFF" w:rsidRDefault="00F22C2B" w:rsidP="00BD3D9F">
      <w:pPr>
        <w:rPr>
          <w:rFonts w:cs="Calibri"/>
          <w:i/>
          <w:iCs/>
          <w:color w:val="000000" w:themeColor="text1"/>
          <w:sz w:val="22"/>
          <w:szCs w:val="22"/>
          <w:lang w:val="en-US"/>
        </w:rPr>
      </w:pPr>
    </w:p>
    <w:p w14:paraId="5C38AB93" w14:textId="19ECD2C5" w:rsidR="00BD3D9F" w:rsidRPr="00012DFF" w:rsidRDefault="00890F40" w:rsidP="00BD3D9F">
      <w:pPr>
        <w:spacing w:before="0" w:after="0"/>
        <w:rPr>
          <w:rFonts w:cs="Calibri"/>
          <w:b/>
          <w:bCs/>
          <w:color w:val="000000" w:themeColor="text1"/>
          <w:szCs w:val="20"/>
          <w:lang w:val="en-US"/>
        </w:rPr>
      </w:pPr>
      <w:r w:rsidRPr="00012DFF">
        <w:rPr>
          <w:rFonts w:cs="Calibri"/>
          <w:b/>
          <w:bCs/>
          <w:color w:val="000000" w:themeColor="text1"/>
          <w:szCs w:val="20"/>
          <w:lang w:val="en-US"/>
        </w:rPr>
        <w:t xml:space="preserve">Contact for </w:t>
      </w:r>
      <w:r w:rsidR="005778D7">
        <w:rPr>
          <w:rFonts w:cs="Calibri"/>
          <w:b/>
          <w:bCs/>
          <w:color w:val="000000" w:themeColor="text1"/>
          <w:szCs w:val="20"/>
          <w:lang w:val="en-US"/>
        </w:rPr>
        <w:t>media</w:t>
      </w:r>
      <w:r w:rsidR="00BD3D9F" w:rsidRPr="00012DFF">
        <w:rPr>
          <w:rFonts w:cs="Calibri"/>
          <w:b/>
          <w:bCs/>
          <w:color w:val="000000" w:themeColor="text1"/>
          <w:szCs w:val="20"/>
          <w:lang w:val="en-US"/>
        </w:rPr>
        <w:tab/>
      </w:r>
      <w:r w:rsidR="00BD3D9F" w:rsidRPr="00012DFF">
        <w:rPr>
          <w:rFonts w:cs="Calibri"/>
          <w:b/>
          <w:bCs/>
          <w:color w:val="000000" w:themeColor="text1"/>
          <w:szCs w:val="20"/>
          <w:lang w:val="en-US"/>
        </w:rPr>
        <w:tab/>
      </w:r>
      <w:r w:rsidR="00BD3D9F" w:rsidRPr="00012DFF">
        <w:rPr>
          <w:rFonts w:cs="Calibri"/>
          <w:b/>
          <w:bCs/>
          <w:color w:val="000000" w:themeColor="text1"/>
          <w:szCs w:val="20"/>
          <w:lang w:val="en-US"/>
        </w:rPr>
        <w:tab/>
      </w:r>
      <w:r w:rsidR="00BD3D9F" w:rsidRPr="00012DFF">
        <w:rPr>
          <w:rFonts w:cs="Calibri"/>
          <w:b/>
          <w:bCs/>
          <w:color w:val="000000" w:themeColor="text1"/>
          <w:szCs w:val="20"/>
          <w:lang w:val="en-US"/>
        </w:rPr>
        <w:tab/>
      </w:r>
      <w:r w:rsidR="00BD3D9F" w:rsidRPr="00012DFF">
        <w:rPr>
          <w:rFonts w:cs="Calibri"/>
          <w:b/>
          <w:bCs/>
          <w:color w:val="000000" w:themeColor="text1"/>
          <w:szCs w:val="20"/>
          <w:lang w:val="en-US"/>
        </w:rPr>
        <w:tab/>
      </w:r>
      <w:r w:rsidR="00EC7BF9" w:rsidRPr="00012DFF">
        <w:rPr>
          <w:rFonts w:cs="Calibri"/>
          <w:b/>
          <w:bCs/>
          <w:color w:val="000000" w:themeColor="text1"/>
          <w:szCs w:val="20"/>
          <w:lang w:val="en-US"/>
        </w:rPr>
        <w:tab/>
      </w:r>
      <w:r w:rsidRPr="00012DFF">
        <w:rPr>
          <w:rFonts w:cs="Calibri"/>
          <w:b/>
          <w:bCs/>
          <w:color w:val="000000" w:themeColor="text1"/>
          <w:szCs w:val="20"/>
          <w:lang w:val="en-US"/>
        </w:rPr>
        <w:t xml:space="preserve">Contact for </w:t>
      </w:r>
      <w:r w:rsidR="005778D7">
        <w:rPr>
          <w:rFonts w:cs="Calibri"/>
          <w:b/>
          <w:bCs/>
          <w:color w:val="000000" w:themeColor="text1"/>
          <w:szCs w:val="20"/>
          <w:lang w:val="en-US"/>
        </w:rPr>
        <w:t>investors</w:t>
      </w:r>
    </w:p>
    <w:p w14:paraId="0BF74ADB" w14:textId="77777777" w:rsidR="005778D7" w:rsidRDefault="005778D7" w:rsidP="00BD3D9F">
      <w:pPr>
        <w:spacing w:before="0" w:after="0"/>
        <w:rPr>
          <w:rFonts w:cs="Calibri"/>
          <w:color w:val="000000" w:themeColor="text1"/>
          <w:szCs w:val="20"/>
          <w:lang w:val="en-US"/>
        </w:rPr>
      </w:pPr>
    </w:p>
    <w:p w14:paraId="051B1E37" w14:textId="4774CEE9" w:rsidR="00BD3D9F" w:rsidRPr="00012DFF" w:rsidRDefault="005778D7" w:rsidP="00BD3D9F">
      <w:pPr>
        <w:spacing w:before="0" w:after="0"/>
        <w:rPr>
          <w:rFonts w:cs="Calibri"/>
          <w:color w:val="000000" w:themeColor="text1"/>
          <w:szCs w:val="20"/>
          <w:lang w:val="en-US"/>
        </w:rPr>
      </w:pPr>
      <w:r>
        <w:rPr>
          <w:rFonts w:cs="Calibri"/>
          <w:color w:val="000000" w:themeColor="text1"/>
          <w:szCs w:val="20"/>
          <w:lang w:val="en-US"/>
        </w:rPr>
        <w:t>Eva Svobodová</w:t>
      </w:r>
      <w:r w:rsidR="00BD3D9F" w:rsidRPr="00012DFF">
        <w:rPr>
          <w:rFonts w:cs="Calibri"/>
          <w:color w:val="000000" w:themeColor="text1"/>
          <w:szCs w:val="20"/>
          <w:lang w:val="en-US"/>
        </w:rPr>
        <w:t xml:space="preserve"> </w:t>
      </w:r>
      <w:r w:rsidR="00BD3D9F" w:rsidRPr="00012DFF">
        <w:rPr>
          <w:rFonts w:cs="Calibri"/>
          <w:color w:val="000000" w:themeColor="text1"/>
          <w:szCs w:val="20"/>
          <w:lang w:val="en-US"/>
        </w:rPr>
        <w:tab/>
      </w:r>
      <w:r w:rsidR="00BD3D9F" w:rsidRPr="00012DFF">
        <w:rPr>
          <w:rFonts w:cs="Calibri"/>
          <w:color w:val="000000" w:themeColor="text1"/>
          <w:szCs w:val="20"/>
          <w:lang w:val="en-US"/>
        </w:rPr>
        <w:tab/>
      </w:r>
      <w:r w:rsidR="00BD3D9F" w:rsidRPr="00012DFF">
        <w:rPr>
          <w:rFonts w:cs="Calibri"/>
          <w:color w:val="000000" w:themeColor="text1"/>
          <w:szCs w:val="20"/>
          <w:lang w:val="en-US"/>
        </w:rPr>
        <w:tab/>
      </w:r>
      <w:r w:rsidR="00BD3D9F" w:rsidRPr="00012DFF">
        <w:rPr>
          <w:rFonts w:cs="Calibri"/>
          <w:color w:val="000000" w:themeColor="text1"/>
          <w:szCs w:val="20"/>
          <w:lang w:val="en-US"/>
        </w:rPr>
        <w:tab/>
      </w:r>
      <w:r w:rsidR="00BD3D9F" w:rsidRPr="00012DFF">
        <w:rPr>
          <w:rFonts w:cs="Calibri"/>
          <w:color w:val="000000" w:themeColor="text1"/>
          <w:szCs w:val="20"/>
          <w:lang w:val="en-US"/>
        </w:rPr>
        <w:tab/>
      </w:r>
      <w:r>
        <w:rPr>
          <w:rFonts w:cs="Calibri"/>
          <w:color w:val="000000" w:themeColor="text1"/>
          <w:szCs w:val="20"/>
          <w:lang w:val="en-US"/>
        </w:rPr>
        <w:t xml:space="preserve">            Klára </w:t>
      </w:r>
      <w:proofErr w:type="spellStart"/>
      <w:r>
        <w:rPr>
          <w:rFonts w:cs="Calibri"/>
          <w:color w:val="000000" w:themeColor="text1"/>
          <w:szCs w:val="20"/>
          <w:lang w:val="en-US"/>
        </w:rPr>
        <w:t>Šípová</w:t>
      </w:r>
      <w:proofErr w:type="spellEnd"/>
    </w:p>
    <w:p w14:paraId="7C62E876" w14:textId="31625374" w:rsidR="00BD3D9F" w:rsidRPr="00012DFF" w:rsidRDefault="005778D7" w:rsidP="00BD3D9F">
      <w:pPr>
        <w:spacing w:before="0" w:after="0"/>
        <w:rPr>
          <w:rFonts w:cs="Calibri"/>
          <w:color w:val="000000" w:themeColor="text1"/>
          <w:szCs w:val="20"/>
          <w:lang w:val="en-US"/>
        </w:rPr>
      </w:pPr>
      <w:r w:rsidRPr="00012DFF">
        <w:rPr>
          <w:rFonts w:cs="Calibri"/>
          <w:color w:val="000000" w:themeColor="text1"/>
          <w:szCs w:val="20"/>
          <w:lang w:val="en-US"/>
        </w:rPr>
        <w:t xml:space="preserve">External Relations Director </w:t>
      </w:r>
      <w:r>
        <w:rPr>
          <w:rFonts w:cs="Calibri"/>
          <w:color w:val="000000" w:themeColor="text1"/>
          <w:szCs w:val="20"/>
          <w:lang w:val="en-US"/>
        </w:rPr>
        <w:t xml:space="preserve">                                                    </w:t>
      </w:r>
      <w:r w:rsidR="00BD3D9F" w:rsidRPr="00012DFF">
        <w:rPr>
          <w:rFonts w:cs="Calibri"/>
          <w:color w:val="000000" w:themeColor="text1"/>
          <w:szCs w:val="20"/>
          <w:lang w:val="en-US"/>
        </w:rPr>
        <w:t>Investor Relations</w:t>
      </w:r>
      <w:r w:rsidR="00BD3D9F" w:rsidRPr="00012DFF">
        <w:rPr>
          <w:rFonts w:cs="Calibri"/>
          <w:color w:val="000000" w:themeColor="text1"/>
          <w:szCs w:val="20"/>
          <w:lang w:val="en-US"/>
        </w:rPr>
        <w:tab/>
      </w:r>
      <w:r w:rsidR="00BD3D9F" w:rsidRPr="00012DFF">
        <w:rPr>
          <w:rFonts w:cs="Calibri"/>
          <w:color w:val="000000" w:themeColor="text1"/>
          <w:szCs w:val="20"/>
          <w:lang w:val="en-US"/>
        </w:rPr>
        <w:tab/>
      </w:r>
    </w:p>
    <w:p w14:paraId="3BE2668B" w14:textId="77777777" w:rsidR="005778D7" w:rsidRDefault="005778D7" w:rsidP="00BD3D9F">
      <w:pPr>
        <w:spacing w:before="0" w:after="0"/>
        <w:rPr>
          <w:rFonts w:cs="Calibri"/>
          <w:color w:val="000000" w:themeColor="text1"/>
          <w:szCs w:val="20"/>
          <w:lang w:val="en-US"/>
        </w:rPr>
      </w:pPr>
      <w:r w:rsidRPr="00012DFF">
        <w:rPr>
          <w:rFonts w:cs="Calibri"/>
          <w:color w:val="000000" w:themeColor="text1"/>
          <w:szCs w:val="20"/>
          <w:lang w:val="en-US"/>
        </w:rPr>
        <w:t xml:space="preserve">Colt CZ Group SE </w:t>
      </w:r>
      <w:r>
        <w:rPr>
          <w:rFonts w:cs="Calibri"/>
          <w:color w:val="000000" w:themeColor="text1"/>
          <w:szCs w:val="20"/>
          <w:lang w:val="en-US"/>
        </w:rPr>
        <w:t xml:space="preserve">                                                                 </w:t>
      </w:r>
      <w:r w:rsidR="00BD3D9F" w:rsidRPr="00012DFF">
        <w:rPr>
          <w:rFonts w:cs="Calibri"/>
          <w:color w:val="000000" w:themeColor="text1"/>
          <w:szCs w:val="20"/>
          <w:lang w:val="en-US"/>
        </w:rPr>
        <w:t>Colt CZ Group SE</w:t>
      </w:r>
      <w:r>
        <w:rPr>
          <w:rFonts w:cs="Calibri"/>
          <w:color w:val="000000" w:themeColor="text1"/>
          <w:szCs w:val="20"/>
          <w:lang w:val="en-US"/>
        </w:rPr>
        <w:t xml:space="preserve">     </w:t>
      </w:r>
    </w:p>
    <w:p w14:paraId="0105925D" w14:textId="231BDA48" w:rsidR="005778D7" w:rsidRDefault="005778D7" w:rsidP="005778D7">
      <w:pPr>
        <w:spacing w:before="0" w:after="0"/>
        <w:rPr>
          <w:rFonts w:cs="Calibri"/>
          <w:color w:val="000000" w:themeColor="text1"/>
          <w:szCs w:val="20"/>
          <w:lang w:val="en-US"/>
        </w:rPr>
      </w:pPr>
      <w:r w:rsidRPr="00012DFF">
        <w:rPr>
          <w:rFonts w:cs="Calibri"/>
          <w:color w:val="000000" w:themeColor="text1"/>
          <w:szCs w:val="20"/>
          <w:lang w:val="en-US"/>
        </w:rPr>
        <w:t>Phone: +420 735 793</w:t>
      </w:r>
      <w:r>
        <w:rPr>
          <w:rFonts w:cs="Calibri"/>
          <w:color w:val="000000" w:themeColor="text1"/>
          <w:szCs w:val="20"/>
          <w:lang w:val="en-US"/>
        </w:rPr>
        <w:t> </w:t>
      </w:r>
      <w:r w:rsidRPr="00012DFF">
        <w:rPr>
          <w:rFonts w:cs="Calibri"/>
          <w:color w:val="000000" w:themeColor="text1"/>
          <w:szCs w:val="20"/>
          <w:lang w:val="en-US"/>
        </w:rPr>
        <w:t>656</w:t>
      </w:r>
      <w:r>
        <w:rPr>
          <w:rFonts w:cs="Calibri"/>
          <w:color w:val="000000" w:themeColor="text1"/>
          <w:szCs w:val="20"/>
          <w:lang w:val="en-US"/>
        </w:rPr>
        <w:t xml:space="preserve">                                                       </w:t>
      </w:r>
      <w:r w:rsidR="00890F40" w:rsidRPr="00012DFF">
        <w:rPr>
          <w:rFonts w:cs="Calibri"/>
          <w:color w:val="000000" w:themeColor="text1"/>
          <w:szCs w:val="20"/>
          <w:lang w:val="en-US"/>
        </w:rPr>
        <w:t>Phone</w:t>
      </w:r>
      <w:r w:rsidR="00BD3D9F" w:rsidRPr="00012DFF">
        <w:rPr>
          <w:rFonts w:cs="Calibri"/>
          <w:color w:val="000000" w:themeColor="text1"/>
          <w:szCs w:val="20"/>
          <w:lang w:val="en-US"/>
        </w:rPr>
        <w:t>: + 420 724</w:t>
      </w:r>
      <w:r>
        <w:rPr>
          <w:rFonts w:cs="Calibri"/>
          <w:color w:val="000000" w:themeColor="text1"/>
          <w:szCs w:val="20"/>
          <w:lang w:val="en-US"/>
        </w:rPr>
        <w:t> </w:t>
      </w:r>
      <w:proofErr w:type="gramStart"/>
      <w:r w:rsidR="00BD3D9F" w:rsidRPr="00012DFF">
        <w:rPr>
          <w:rFonts w:cs="Calibri"/>
          <w:color w:val="000000" w:themeColor="text1"/>
          <w:szCs w:val="20"/>
          <w:lang w:val="en-US"/>
        </w:rPr>
        <w:t>255</w:t>
      </w:r>
      <w:r>
        <w:rPr>
          <w:rFonts w:cs="Calibri"/>
          <w:color w:val="000000" w:themeColor="text1"/>
          <w:szCs w:val="20"/>
          <w:lang w:val="en-US"/>
        </w:rPr>
        <w:t xml:space="preserve">  </w:t>
      </w:r>
      <w:r w:rsidR="00336449">
        <w:rPr>
          <w:rFonts w:cs="Calibri"/>
          <w:color w:val="000000" w:themeColor="text1"/>
          <w:szCs w:val="20"/>
          <w:lang w:val="en-US"/>
        </w:rPr>
        <w:t>715</w:t>
      </w:r>
      <w:proofErr w:type="gramEnd"/>
    </w:p>
    <w:p w14:paraId="7A8BD6DB" w14:textId="660F042A" w:rsidR="00BD3D9F" w:rsidRPr="005778D7" w:rsidRDefault="00BD3D9F" w:rsidP="005778D7">
      <w:pPr>
        <w:spacing w:before="0" w:after="0"/>
        <w:rPr>
          <w:rFonts w:cs="Calibri"/>
          <w:color w:val="000000" w:themeColor="text1"/>
          <w:szCs w:val="20"/>
          <w:lang w:val="en-US"/>
        </w:rPr>
      </w:pPr>
      <w:r w:rsidRPr="00012DFF">
        <w:rPr>
          <w:rFonts w:cs="Calibri"/>
          <w:color w:val="000000" w:themeColor="text1"/>
          <w:szCs w:val="20"/>
          <w:lang w:val="en-US"/>
        </w:rPr>
        <w:t xml:space="preserve">email: </w:t>
      </w:r>
      <w:r w:rsidR="005778D7">
        <w:rPr>
          <w:szCs w:val="20"/>
          <w:lang w:val="en-US"/>
        </w:rPr>
        <w:t>media</w:t>
      </w:r>
      <w:r w:rsidR="00101C11" w:rsidRPr="00012DFF">
        <w:rPr>
          <w:szCs w:val="20"/>
          <w:lang w:val="en-US"/>
        </w:rPr>
        <w:t>@coltczgroup.com</w:t>
      </w:r>
      <w:r w:rsidRPr="00012DFF">
        <w:rPr>
          <w:rFonts w:cs="Calibri"/>
          <w:color w:val="000000" w:themeColor="text1"/>
          <w:szCs w:val="20"/>
          <w:lang w:val="en-US"/>
        </w:rPr>
        <w:tab/>
      </w:r>
      <w:r w:rsidRPr="00012DFF">
        <w:rPr>
          <w:rFonts w:cs="Calibri"/>
          <w:color w:val="000000" w:themeColor="text1"/>
          <w:szCs w:val="20"/>
          <w:lang w:val="en-US"/>
        </w:rPr>
        <w:tab/>
      </w:r>
      <w:r w:rsidRPr="00012DFF">
        <w:rPr>
          <w:rFonts w:cs="Calibri"/>
          <w:color w:val="000000" w:themeColor="text1"/>
          <w:szCs w:val="20"/>
          <w:lang w:val="en-US"/>
        </w:rPr>
        <w:tab/>
      </w:r>
      <w:r w:rsidR="00101C11" w:rsidRPr="00012DFF">
        <w:rPr>
          <w:rFonts w:cs="Calibri"/>
          <w:color w:val="000000" w:themeColor="text1"/>
          <w:szCs w:val="20"/>
          <w:lang w:val="en-US"/>
        </w:rPr>
        <w:tab/>
      </w:r>
      <w:r w:rsidRPr="00012DFF">
        <w:rPr>
          <w:rFonts w:cs="Calibri"/>
          <w:color w:val="000000" w:themeColor="text1"/>
          <w:szCs w:val="20"/>
          <w:lang w:val="en-US"/>
        </w:rPr>
        <w:t>email:</w:t>
      </w:r>
      <w:r w:rsidR="00BB6082" w:rsidRPr="00012DFF">
        <w:rPr>
          <w:rFonts w:cs="Calibri"/>
          <w:color w:val="000000" w:themeColor="text1"/>
          <w:szCs w:val="20"/>
          <w:lang w:val="en-US"/>
        </w:rPr>
        <w:t xml:space="preserve"> </w:t>
      </w:r>
      <w:r w:rsidR="005778D7">
        <w:rPr>
          <w:szCs w:val="20"/>
          <w:lang w:val="en-US"/>
        </w:rPr>
        <w:t>sipova</w:t>
      </w:r>
      <w:r w:rsidR="00101C11" w:rsidRPr="00012DFF">
        <w:rPr>
          <w:szCs w:val="20"/>
          <w:lang w:val="en-US"/>
        </w:rPr>
        <w:t>@coltczgroup.com</w:t>
      </w:r>
      <w:r w:rsidRPr="00012DFF">
        <w:rPr>
          <w:rFonts w:cs="Calibri"/>
          <w:color w:val="000000" w:themeColor="text1"/>
          <w:szCs w:val="20"/>
          <w:lang w:val="en-US"/>
        </w:rPr>
        <w:t xml:space="preserve"> </w:t>
      </w:r>
      <w:r w:rsidRPr="00012DFF">
        <w:rPr>
          <w:rFonts w:cs="Calibri"/>
          <w:color w:val="000000" w:themeColor="text1"/>
          <w:szCs w:val="20"/>
          <w:lang w:val="en-US"/>
        </w:rPr>
        <w:tab/>
      </w:r>
      <w:r w:rsidRPr="00012DFF">
        <w:rPr>
          <w:rFonts w:cs="Calibri"/>
          <w:i/>
          <w:iCs/>
          <w:color w:val="000000" w:themeColor="text1"/>
          <w:szCs w:val="20"/>
          <w:lang w:val="en-US"/>
        </w:rPr>
        <w:tab/>
      </w:r>
      <w:r w:rsidRPr="00012DFF">
        <w:rPr>
          <w:rFonts w:cs="Calibri"/>
          <w:i/>
          <w:iCs/>
          <w:color w:val="000000" w:themeColor="text1"/>
          <w:szCs w:val="20"/>
          <w:lang w:val="en-US"/>
        </w:rPr>
        <w:tab/>
      </w:r>
      <w:r w:rsidRPr="00012DFF">
        <w:rPr>
          <w:rFonts w:cs="Calibri"/>
          <w:i/>
          <w:iCs/>
          <w:color w:val="000000" w:themeColor="text1"/>
          <w:szCs w:val="20"/>
          <w:lang w:val="en-US"/>
        </w:rPr>
        <w:tab/>
      </w:r>
      <w:r w:rsidRPr="00012DFF">
        <w:rPr>
          <w:rFonts w:cs="Calibri"/>
          <w:i/>
          <w:iCs/>
          <w:color w:val="000000" w:themeColor="text1"/>
          <w:szCs w:val="20"/>
          <w:lang w:val="en-US"/>
        </w:rPr>
        <w:tab/>
      </w:r>
    </w:p>
    <w:p w14:paraId="1C2AC4E1" w14:textId="0C8A9B59" w:rsidR="007A1810" w:rsidRDefault="007A1810">
      <w:pPr>
        <w:spacing w:before="0" w:after="0"/>
        <w:jc w:val="left"/>
        <w:rPr>
          <w:rFonts w:cs="Calibri"/>
          <w:i/>
          <w:iCs/>
          <w:color w:val="000000" w:themeColor="text1"/>
          <w:szCs w:val="20"/>
          <w:lang w:val="en-US"/>
        </w:rPr>
      </w:pPr>
      <w:r>
        <w:rPr>
          <w:rFonts w:cs="Calibri"/>
          <w:i/>
          <w:iCs/>
          <w:color w:val="000000" w:themeColor="text1"/>
          <w:szCs w:val="20"/>
          <w:lang w:val="en-US"/>
        </w:rPr>
        <w:br w:type="page"/>
      </w:r>
    </w:p>
    <w:p w14:paraId="3C766B8A" w14:textId="2DBE1003" w:rsidR="007A1810" w:rsidRDefault="005741FD" w:rsidP="00D876DD">
      <w:pPr>
        <w:spacing w:before="0" w:after="0" w:line="276" w:lineRule="auto"/>
        <w:jc w:val="left"/>
        <w:rPr>
          <w:rFonts w:cs="Calibri"/>
          <w:color w:val="000000" w:themeColor="text1"/>
          <w:szCs w:val="20"/>
          <w:lang w:val="en-US"/>
        </w:rPr>
      </w:pPr>
      <w:r>
        <w:rPr>
          <w:rFonts w:cs="Calibri"/>
          <w:color w:val="000000" w:themeColor="text1"/>
          <w:szCs w:val="20"/>
          <w:lang w:val="en-US"/>
        </w:rPr>
        <w:lastRenderedPageBreak/>
        <w:t xml:space="preserve">Appendix: </w:t>
      </w:r>
    </w:p>
    <w:p w14:paraId="297956A6" w14:textId="77777777" w:rsidR="005741FD" w:rsidRDefault="005741FD" w:rsidP="00D876DD">
      <w:pPr>
        <w:spacing w:before="0" w:after="0" w:line="276" w:lineRule="auto"/>
        <w:jc w:val="left"/>
        <w:rPr>
          <w:rFonts w:cs="Calibri"/>
          <w:color w:val="000000" w:themeColor="text1"/>
          <w:szCs w:val="20"/>
          <w:lang w:val="en-US"/>
        </w:rPr>
      </w:pPr>
    </w:p>
    <w:p w14:paraId="7DB5F605" w14:textId="71F11C72" w:rsidR="005741FD" w:rsidRPr="007B3E35" w:rsidRDefault="005741FD" w:rsidP="00D876DD">
      <w:pPr>
        <w:spacing w:before="0" w:after="0" w:line="276" w:lineRule="auto"/>
        <w:jc w:val="left"/>
        <w:rPr>
          <w:rFonts w:cs="Calibri"/>
          <w:b/>
          <w:bCs/>
          <w:color w:val="000000" w:themeColor="text1"/>
          <w:szCs w:val="20"/>
          <w:lang w:val="en-US"/>
        </w:rPr>
      </w:pPr>
      <w:r w:rsidRPr="007B3E35">
        <w:rPr>
          <w:rFonts w:cs="Calibri"/>
          <w:b/>
          <w:bCs/>
          <w:color w:val="000000" w:themeColor="text1"/>
          <w:szCs w:val="20"/>
          <w:lang w:val="en-US"/>
        </w:rPr>
        <w:t>Adjusted EBITDA</w:t>
      </w:r>
    </w:p>
    <w:p w14:paraId="10562620" w14:textId="77777777" w:rsidR="005741FD" w:rsidRDefault="005741FD" w:rsidP="00D876DD">
      <w:pPr>
        <w:spacing w:before="0" w:after="0" w:line="276" w:lineRule="auto"/>
        <w:jc w:val="left"/>
        <w:rPr>
          <w:rFonts w:cs="Calibri"/>
          <w:color w:val="000000" w:themeColor="text1"/>
          <w:szCs w:val="20"/>
          <w:lang w:val="en-US"/>
        </w:rPr>
      </w:pPr>
    </w:p>
    <w:tbl>
      <w:tblPr>
        <w:tblStyle w:val="Mkatabulky"/>
        <w:tblW w:w="0" w:type="auto"/>
        <w:tblLook w:val="04A0" w:firstRow="1" w:lastRow="0" w:firstColumn="1" w:lastColumn="0" w:noHBand="0" w:noVBand="1"/>
      </w:tblPr>
      <w:tblGrid>
        <w:gridCol w:w="3245"/>
        <w:gridCol w:w="1520"/>
        <w:gridCol w:w="1520"/>
      </w:tblGrid>
      <w:tr w:rsidR="00AA4ACE" w:rsidRPr="00AA4ACE" w14:paraId="05FF446D" w14:textId="77777777" w:rsidTr="00AA4ACE">
        <w:trPr>
          <w:trHeight w:val="315"/>
        </w:trPr>
        <w:tc>
          <w:tcPr>
            <w:tcW w:w="3245" w:type="dxa"/>
            <w:noWrap/>
            <w:hideMark/>
          </w:tcPr>
          <w:p w14:paraId="351D3E1A" w14:textId="0C3DD171" w:rsidR="00AA4ACE" w:rsidRPr="00A42B05" w:rsidRDefault="00336449" w:rsidP="00AA4ACE">
            <w:pPr>
              <w:spacing w:before="0" w:after="0" w:line="276" w:lineRule="auto"/>
              <w:jc w:val="left"/>
              <w:rPr>
                <w:rFonts w:cs="Calibri"/>
                <w:color w:val="000000" w:themeColor="text1"/>
                <w:szCs w:val="20"/>
                <w:lang w:val="en-US"/>
              </w:rPr>
            </w:pPr>
            <w:r>
              <w:rPr>
                <w:rFonts w:cs="Calibri"/>
                <w:color w:val="000000" w:themeColor="text1"/>
                <w:szCs w:val="20"/>
                <w:lang w:val="en-US"/>
              </w:rPr>
              <w:t>(</w:t>
            </w:r>
            <w:r w:rsidRPr="00336449">
              <w:rPr>
                <w:rFonts w:cs="Calibri"/>
                <w:color w:val="000000" w:themeColor="text1"/>
                <w:szCs w:val="20"/>
                <w:lang w:val="en-US"/>
              </w:rPr>
              <w:t>in CZK thousand)</w:t>
            </w:r>
          </w:p>
        </w:tc>
        <w:tc>
          <w:tcPr>
            <w:tcW w:w="1520" w:type="dxa"/>
            <w:noWrap/>
            <w:hideMark/>
          </w:tcPr>
          <w:p w14:paraId="3DE44104" w14:textId="77777777" w:rsidR="00AA4ACE" w:rsidRPr="00A42B05" w:rsidRDefault="00AA4ACE" w:rsidP="00AA4ACE">
            <w:pPr>
              <w:spacing w:before="0" w:after="0" w:line="276" w:lineRule="auto"/>
              <w:jc w:val="left"/>
              <w:rPr>
                <w:rFonts w:cs="Calibri"/>
                <w:color w:val="000000" w:themeColor="text1"/>
                <w:szCs w:val="20"/>
                <w:lang w:val="en-US"/>
              </w:rPr>
            </w:pPr>
            <w:r w:rsidRPr="00A42B05">
              <w:rPr>
                <w:rFonts w:cs="Calibri"/>
                <w:color w:val="000000" w:themeColor="text1"/>
                <w:szCs w:val="20"/>
                <w:lang w:val="en-US"/>
              </w:rPr>
              <w:t>30.09.2024</w:t>
            </w:r>
          </w:p>
        </w:tc>
        <w:tc>
          <w:tcPr>
            <w:tcW w:w="1520" w:type="dxa"/>
            <w:noWrap/>
            <w:hideMark/>
          </w:tcPr>
          <w:p w14:paraId="789EFA8F" w14:textId="77777777" w:rsidR="00AA4ACE" w:rsidRPr="00A42B05" w:rsidRDefault="00AA4ACE" w:rsidP="00AA4ACE">
            <w:pPr>
              <w:spacing w:before="0" w:after="0" w:line="276" w:lineRule="auto"/>
              <w:jc w:val="left"/>
              <w:rPr>
                <w:rFonts w:cs="Calibri"/>
                <w:color w:val="000000" w:themeColor="text1"/>
                <w:szCs w:val="20"/>
                <w:lang w:val="en-US"/>
              </w:rPr>
            </w:pPr>
            <w:r w:rsidRPr="00A42B05">
              <w:rPr>
                <w:rFonts w:cs="Calibri"/>
                <w:color w:val="000000" w:themeColor="text1"/>
                <w:szCs w:val="20"/>
                <w:lang w:val="en-US"/>
              </w:rPr>
              <w:t>30.09.2023</w:t>
            </w:r>
          </w:p>
        </w:tc>
      </w:tr>
      <w:tr w:rsidR="00AA4ACE" w:rsidRPr="00AA4ACE" w14:paraId="72B75391" w14:textId="77777777" w:rsidTr="00AA4ACE">
        <w:trPr>
          <w:trHeight w:val="315"/>
        </w:trPr>
        <w:tc>
          <w:tcPr>
            <w:tcW w:w="3245" w:type="dxa"/>
            <w:noWrap/>
            <w:hideMark/>
          </w:tcPr>
          <w:p w14:paraId="2CF0C278" w14:textId="77777777" w:rsidR="00AA4ACE" w:rsidRPr="00A42B05" w:rsidRDefault="00AA4ACE" w:rsidP="00AA4ACE">
            <w:pPr>
              <w:spacing w:before="0" w:after="0" w:line="276" w:lineRule="auto"/>
              <w:jc w:val="left"/>
              <w:rPr>
                <w:rFonts w:cs="Calibri"/>
                <w:color w:val="000000" w:themeColor="text1"/>
                <w:szCs w:val="20"/>
                <w:lang w:val="en-US"/>
              </w:rPr>
            </w:pPr>
          </w:p>
        </w:tc>
        <w:tc>
          <w:tcPr>
            <w:tcW w:w="1520" w:type="dxa"/>
            <w:noWrap/>
            <w:hideMark/>
          </w:tcPr>
          <w:p w14:paraId="2B614A44" w14:textId="77777777" w:rsidR="00AA4ACE" w:rsidRPr="00A42B05" w:rsidRDefault="00AA4ACE" w:rsidP="00AA4ACE">
            <w:pPr>
              <w:spacing w:before="0" w:after="0" w:line="276" w:lineRule="auto"/>
              <w:jc w:val="left"/>
              <w:rPr>
                <w:rFonts w:cs="Calibri"/>
                <w:color w:val="000000" w:themeColor="text1"/>
                <w:szCs w:val="20"/>
                <w:lang w:val="en-US"/>
              </w:rPr>
            </w:pPr>
          </w:p>
        </w:tc>
        <w:tc>
          <w:tcPr>
            <w:tcW w:w="1520" w:type="dxa"/>
            <w:noWrap/>
            <w:hideMark/>
          </w:tcPr>
          <w:p w14:paraId="4E6ACFEB" w14:textId="77777777" w:rsidR="00AA4ACE" w:rsidRPr="00A42B05" w:rsidRDefault="00AA4ACE" w:rsidP="00AA4ACE">
            <w:pPr>
              <w:spacing w:before="0" w:after="0" w:line="276" w:lineRule="auto"/>
              <w:jc w:val="left"/>
              <w:rPr>
                <w:rFonts w:cs="Calibri"/>
                <w:color w:val="000000" w:themeColor="text1"/>
                <w:szCs w:val="20"/>
                <w:lang w:val="en-US"/>
              </w:rPr>
            </w:pPr>
          </w:p>
        </w:tc>
      </w:tr>
      <w:tr w:rsidR="00AA4ACE" w:rsidRPr="00AA4ACE" w14:paraId="733A7943" w14:textId="77777777" w:rsidTr="00AA4ACE">
        <w:trPr>
          <w:trHeight w:val="330"/>
        </w:trPr>
        <w:tc>
          <w:tcPr>
            <w:tcW w:w="3245" w:type="dxa"/>
            <w:noWrap/>
            <w:hideMark/>
          </w:tcPr>
          <w:p w14:paraId="7E0DE2C6" w14:textId="77777777" w:rsidR="00AA4ACE" w:rsidRPr="00A42B05" w:rsidRDefault="00AA4ACE" w:rsidP="00AA4ACE">
            <w:pPr>
              <w:spacing w:before="0" w:after="0" w:line="276" w:lineRule="auto"/>
              <w:jc w:val="left"/>
              <w:rPr>
                <w:rFonts w:cs="Calibri"/>
                <w:b/>
                <w:bCs/>
                <w:color w:val="000000" w:themeColor="text1"/>
                <w:szCs w:val="20"/>
                <w:lang w:val="en-US"/>
              </w:rPr>
            </w:pPr>
            <w:r w:rsidRPr="00A42B05">
              <w:rPr>
                <w:rFonts w:cs="Calibri"/>
                <w:b/>
                <w:bCs/>
                <w:color w:val="000000" w:themeColor="text1"/>
                <w:szCs w:val="20"/>
                <w:lang w:val="en-US"/>
              </w:rPr>
              <w:t>EBITDA</w:t>
            </w:r>
          </w:p>
        </w:tc>
        <w:tc>
          <w:tcPr>
            <w:tcW w:w="1520" w:type="dxa"/>
            <w:noWrap/>
            <w:hideMark/>
          </w:tcPr>
          <w:p w14:paraId="75C1C4EE" w14:textId="7CAFCE0C" w:rsidR="00AA4ACE" w:rsidRPr="00A42B05" w:rsidRDefault="00AA4ACE" w:rsidP="00AA4ACE">
            <w:pPr>
              <w:spacing w:before="0" w:after="0" w:line="276" w:lineRule="auto"/>
              <w:jc w:val="left"/>
              <w:rPr>
                <w:rFonts w:cs="Calibri"/>
                <w:color w:val="000000" w:themeColor="text1"/>
                <w:szCs w:val="20"/>
                <w:lang w:val="en-US"/>
              </w:rPr>
            </w:pPr>
            <w:r w:rsidRPr="00A42B05">
              <w:rPr>
                <w:rFonts w:cs="Calibri"/>
                <w:color w:val="000000" w:themeColor="text1"/>
                <w:szCs w:val="20"/>
                <w:lang w:val="en-US"/>
              </w:rPr>
              <w:t>2</w:t>
            </w:r>
            <w:r w:rsidR="00157F57" w:rsidRPr="00A42B05">
              <w:rPr>
                <w:rFonts w:cs="Calibri"/>
                <w:color w:val="000000" w:themeColor="text1"/>
                <w:szCs w:val="20"/>
                <w:lang w:val="en-US"/>
              </w:rPr>
              <w:t>,</w:t>
            </w:r>
            <w:r w:rsidRPr="00A42B05">
              <w:rPr>
                <w:rFonts w:cs="Calibri"/>
                <w:color w:val="000000" w:themeColor="text1"/>
                <w:szCs w:val="20"/>
                <w:lang w:val="en-US"/>
              </w:rPr>
              <w:t>244</w:t>
            </w:r>
            <w:r w:rsidR="00157F57" w:rsidRPr="00A42B05">
              <w:rPr>
                <w:rFonts w:cs="Calibri"/>
                <w:color w:val="000000" w:themeColor="text1"/>
                <w:szCs w:val="20"/>
                <w:lang w:val="en-US"/>
              </w:rPr>
              <w:t>,</w:t>
            </w:r>
            <w:r w:rsidRPr="00A42B05">
              <w:rPr>
                <w:rFonts w:cs="Calibri"/>
                <w:color w:val="000000" w:themeColor="text1"/>
                <w:szCs w:val="20"/>
                <w:lang w:val="en-US"/>
              </w:rPr>
              <w:t>346</w:t>
            </w:r>
          </w:p>
        </w:tc>
        <w:tc>
          <w:tcPr>
            <w:tcW w:w="1520" w:type="dxa"/>
            <w:noWrap/>
            <w:hideMark/>
          </w:tcPr>
          <w:p w14:paraId="25ACDA2B" w14:textId="00818324" w:rsidR="00AA4ACE" w:rsidRPr="00A42B05" w:rsidRDefault="00AA4ACE" w:rsidP="00AA4ACE">
            <w:pPr>
              <w:spacing w:before="0" w:after="0" w:line="276" w:lineRule="auto"/>
              <w:jc w:val="left"/>
              <w:rPr>
                <w:rFonts w:cs="Calibri"/>
                <w:color w:val="000000" w:themeColor="text1"/>
                <w:szCs w:val="20"/>
                <w:lang w:val="en-US"/>
              </w:rPr>
            </w:pPr>
            <w:r w:rsidRPr="00A42B05">
              <w:rPr>
                <w:rFonts w:cs="Calibri"/>
                <w:color w:val="000000" w:themeColor="text1"/>
                <w:szCs w:val="20"/>
                <w:lang w:val="en-US"/>
              </w:rPr>
              <w:t>1</w:t>
            </w:r>
            <w:r w:rsidR="00157F57" w:rsidRPr="00A42B05">
              <w:rPr>
                <w:rFonts w:cs="Calibri"/>
                <w:color w:val="000000" w:themeColor="text1"/>
                <w:szCs w:val="20"/>
                <w:lang w:val="en-US"/>
              </w:rPr>
              <w:t>,</w:t>
            </w:r>
            <w:r w:rsidRPr="00A42B05">
              <w:rPr>
                <w:rFonts w:cs="Calibri"/>
                <w:color w:val="000000" w:themeColor="text1"/>
                <w:szCs w:val="20"/>
                <w:lang w:val="en-US"/>
              </w:rPr>
              <w:t>706</w:t>
            </w:r>
            <w:r w:rsidR="00157F57" w:rsidRPr="00A42B05">
              <w:rPr>
                <w:rFonts w:cs="Calibri"/>
                <w:color w:val="000000" w:themeColor="text1"/>
                <w:szCs w:val="20"/>
                <w:lang w:val="en-US"/>
              </w:rPr>
              <w:t>,</w:t>
            </w:r>
            <w:r w:rsidRPr="00A42B05">
              <w:rPr>
                <w:rFonts w:cs="Calibri"/>
                <w:color w:val="000000" w:themeColor="text1"/>
                <w:szCs w:val="20"/>
                <w:lang w:val="en-US"/>
              </w:rPr>
              <w:t>681</w:t>
            </w:r>
          </w:p>
        </w:tc>
      </w:tr>
      <w:tr w:rsidR="00AA4ACE" w:rsidRPr="00AA4ACE" w14:paraId="1EACED27" w14:textId="77777777" w:rsidTr="00AA4ACE">
        <w:trPr>
          <w:trHeight w:val="330"/>
        </w:trPr>
        <w:tc>
          <w:tcPr>
            <w:tcW w:w="3245" w:type="dxa"/>
            <w:noWrap/>
            <w:hideMark/>
          </w:tcPr>
          <w:p w14:paraId="254AF0C9" w14:textId="77777777" w:rsidR="00AA4ACE" w:rsidRPr="00A42B05" w:rsidRDefault="00AA4ACE" w:rsidP="00AA4ACE">
            <w:pPr>
              <w:spacing w:before="0" w:after="0" w:line="276" w:lineRule="auto"/>
              <w:jc w:val="left"/>
              <w:rPr>
                <w:rFonts w:cs="Calibri"/>
                <w:color w:val="000000" w:themeColor="text1"/>
                <w:szCs w:val="20"/>
                <w:lang w:val="en-US"/>
              </w:rPr>
            </w:pPr>
            <w:r w:rsidRPr="00A42B05">
              <w:rPr>
                <w:rFonts w:cs="Calibri"/>
                <w:color w:val="000000" w:themeColor="text1"/>
                <w:szCs w:val="20"/>
                <w:lang w:val="en-US"/>
              </w:rPr>
              <w:t>ESOP</w:t>
            </w:r>
          </w:p>
        </w:tc>
        <w:tc>
          <w:tcPr>
            <w:tcW w:w="1520" w:type="dxa"/>
            <w:noWrap/>
            <w:hideMark/>
          </w:tcPr>
          <w:p w14:paraId="470402CB" w14:textId="5D6731E4" w:rsidR="00AA4ACE" w:rsidRPr="00A42B05" w:rsidRDefault="00AA4ACE" w:rsidP="00AA4ACE">
            <w:pPr>
              <w:spacing w:before="0" w:after="0" w:line="276" w:lineRule="auto"/>
              <w:jc w:val="left"/>
              <w:rPr>
                <w:rFonts w:cs="Calibri"/>
                <w:color w:val="000000" w:themeColor="text1"/>
                <w:szCs w:val="20"/>
                <w:lang w:val="en-US"/>
              </w:rPr>
            </w:pPr>
            <w:r w:rsidRPr="00A42B05">
              <w:rPr>
                <w:rFonts w:cs="Calibri"/>
                <w:color w:val="000000" w:themeColor="text1"/>
                <w:szCs w:val="20"/>
                <w:lang w:val="en-US"/>
              </w:rPr>
              <w:t>402</w:t>
            </w:r>
            <w:r w:rsidR="00157F57" w:rsidRPr="00A42B05">
              <w:rPr>
                <w:rFonts w:cs="Calibri"/>
                <w:color w:val="000000" w:themeColor="text1"/>
                <w:szCs w:val="20"/>
                <w:lang w:val="en-US"/>
              </w:rPr>
              <w:t>,</w:t>
            </w:r>
            <w:r w:rsidRPr="00A42B05">
              <w:rPr>
                <w:rFonts w:cs="Calibri"/>
                <w:color w:val="000000" w:themeColor="text1"/>
                <w:szCs w:val="20"/>
                <w:lang w:val="en-US"/>
              </w:rPr>
              <w:t>456</w:t>
            </w:r>
          </w:p>
        </w:tc>
        <w:tc>
          <w:tcPr>
            <w:tcW w:w="1520" w:type="dxa"/>
            <w:noWrap/>
            <w:hideMark/>
          </w:tcPr>
          <w:p w14:paraId="7FEC134A" w14:textId="0D2B7C8D" w:rsidR="00AA4ACE" w:rsidRPr="00A42B05" w:rsidRDefault="00AA4ACE" w:rsidP="00AA4ACE">
            <w:pPr>
              <w:spacing w:before="0" w:after="0" w:line="276" w:lineRule="auto"/>
              <w:jc w:val="left"/>
              <w:rPr>
                <w:rFonts w:cs="Calibri"/>
                <w:color w:val="000000" w:themeColor="text1"/>
                <w:szCs w:val="20"/>
                <w:lang w:val="en-US"/>
              </w:rPr>
            </w:pPr>
            <w:r w:rsidRPr="00A42B05">
              <w:rPr>
                <w:rFonts w:cs="Calibri"/>
                <w:color w:val="000000" w:themeColor="text1"/>
                <w:szCs w:val="20"/>
                <w:lang w:val="en-US"/>
              </w:rPr>
              <w:t>228</w:t>
            </w:r>
            <w:r w:rsidR="00157F57" w:rsidRPr="00A42B05">
              <w:rPr>
                <w:rFonts w:cs="Calibri"/>
                <w:color w:val="000000" w:themeColor="text1"/>
                <w:szCs w:val="20"/>
                <w:lang w:val="en-US"/>
              </w:rPr>
              <w:t>,</w:t>
            </w:r>
            <w:r w:rsidRPr="00A42B05">
              <w:rPr>
                <w:rFonts w:cs="Calibri"/>
                <w:color w:val="000000" w:themeColor="text1"/>
                <w:szCs w:val="20"/>
                <w:lang w:val="en-US"/>
              </w:rPr>
              <w:t>475</w:t>
            </w:r>
          </w:p>
        </w:tc>
      </w:tr>
      <w:tr w:rsidR="00AA4ACE" w:rsidRPr="00AA4ACE" w14:paraId="4CD8C778" w14:textId="77777777" w:rsidTr="00AA4ACE">
        <w:trPr>
          <w:trHeight w:val="315"/>
        </w:trPr>
        <w:tc>
          <w:tcPr>
            <w:tcW w:w="3245" w:type="dxa"/>
            <w:noWrap/>
            <w:hideMark/>
          </w:tcPr>
          <w:p w14:paraId="6B12C0F7" w14:textId="300AABE2" w:rsidR="00AA4ACE" w:rsidRPr="00A42B05" w:rsidRDefault="00AA4ACE" w:rsidP="00AA4ACE">
            <w:pPr>
              <w:spacing w:before="0" w:after="0" w:line="276" w:lineRule="auto"/>
              <w:jc w:val="left"/>
              <w:rPr>
                <w:rFonts w:cs="Calibri"/>
                <w:color w:val="000000" w:themeColor="text1"/>
                <w:szCs w:val="20"/>
                <w:lang w:val="en-US"/>
              </w:rPr>
            </w:pPr>
            <w:r w:rsidRPr="00A42B05">
              <w:rPr>
                <w:rFonts w:cs="Calibri"/>
                <w:color w:val="000000" w:themeColor="text1"/>
                <w:szCs w:val="20"/>
                <w:lang w:val="en-US"/>
              </w:rPr>
              <w:t>M&amp;A (</w:t>
            </w:r>
            <w:r w:rsidR="005644E6" w:rsidRPr="00A42B05">
              <w:rPr>
                <w:rFonts w:cs="Calibri"/>
                <w:color w:val="000000" w:themeColor="text1"/>
                <w:szCs w:val="20"/>
                <w:lang w:val="en-US"/>
              </w:rPr>
              <w:t>unrealized</w:t>
            </w:r>
            <w:r w:rsidRPr="00A42B05">
              <w:rPr>
                <w:rFonts w:cs="Calibri"/>
                <w:color w:val="000000" w:themeColor="text1"/>
                <w:szCs w:val="20"/>
                <w:lang w:val="en-US"/>
              </w:rPr>
              <w:t>)</w:t>
            </w:r>
          </w:p>
        </w:tc>
        <w:tc>
          <w:tcPr>
            <w:tcW w:w="1520" w:type="dxa"/>
            <w:noWrap/>
            <w:hideMark/>
          </w:tcPr>
          <w:p w14:paraId="4981AEBA" w14:textId="77777777" w:rsidR="00AA4ACE" w:rsidRPr="00A42B05" w:rsidRDefault="00AA4ACE" w:rsidP="00AA4ACE">
            <w:pPr>
              <w:spacing w:before="0" w:after="0" w:line="276" w:lineRule="auto"/>
              <w:jc w:val="left"/>
              <w:rPr>
                <w:rFonts w:cs="Calibri"/>
                <w:color w:val="000000" w:themeColor="text1"/>
                <w:szCs w:val="20"/>
                <w:lang w:val="en-US"/>
              </w:rPr>
            </w:pPr>
            <w:r w:rsidRPr="00A42B05">
              <w:rPr>
                <w:rFonts w:cs="Calibri"/>
                <w:color w:val="000000" w:themeColor="text1"/>
                <w:szCs w:val="20"/>
                <w:lang w:val="en-US"/>
              </w:rPr>
              <w:t>962</w:t>
            </w:r>
          </w:p>
        </w:tc>
        <w:tc>
          <w:tcPr>
            <w:tcW w:w="1520" w:type="dxa"/>
            <w:noWrap/>
            <w:hideMark/>
          </w:tcPr>
          <w:p w14:paraId="0F18FE19" w14:textId="77777777" w:rsidR="00AA4ACE" w:rsidRPr="00A42B05" w:rsidRDefault="00AA4ACE" w:rsidP="00AA4ACE">
            <w:pPr>
              <w:spacing w:before="0" w:after="0" w:line="276" w:lineRule="auto"/>
              <w:jc w:val="left"/>
              <w:rPr>
                <w:rFonts w:cs="Calibri"/>
                <w:color w:val="000000" w:themeColor="text1"/>
                <w:szCs w:val="20"/>
                <w:lang w:val="en-US"/>
              </w:rPr>
            </w:pPr>
            <w:r w:rsidRPr="00A42B05">
              <w:rPr>
                <w:rFonts w:cs="Calibri"/>
                <w:color w:val="000000" w:themeColor="text1"/>
                <w:szCs w:val="20"/>
                <w:lang w:val="en-US"/>
              </w:rPr>
              <w:t>268</w:t>
            </w:r>
          </w:p>
        </w:tc>
      </w:tr>
      <w:tr w:rsidR="00AA4ACE" w:rsidRPr="00AA4ACE" w14:paraId="77EBEEDF" w14:textId="77777777" w:rsidTr="00AA4ACE">
        <w:trPr>
          <w:trHeight w:val="315"/>
        </w:trPr>
        <w:tc>
          <w:tcPr>
            <w:tcW w:w="3245" w:type="dxa"/>
            <w:noWrap/>
            <w:hideMark/>
          </w:tcPr>
          <w:p w14:paraId="33691DE3" w14:textId="77777777" w:rsidR="00AA4ACE" w:rsidRPr="00A42B05" w:rsidRDefault="00AA4ACE" w:rsidP="00AA4ACE">
            <w:pPr>
              <w:spacing w:before="0" w:after="0" w:line="276" w:lineRule="auto"/>
              <w:jc w:val="left"/>
              <w:rPr>
                <w:rFonts w:cs="Calibri"/>
                <w:color w:val="000000" w:themeColor="text1"/>
                <w:szCs w:val="20"/>
                <w:lang w:val="en-US"/>
              </w:rPr>
            </w:pPr>
            <w:r w:rsidRPr="00A42B05">
              <w:rPr>
                <w:rFonts w:cs="Calibri"/>
                <w:color w:val="000000" w:themeColor="text1"/>
                <w:szCs w:val="20"/>
                <w:lang w:val="en-US"/>
              </w:rPr>
              <w:t xml:space="preserve">SB </w:t>
            </w:r>
            <w:proofErr w:type="gramStart"/>
            <w:r w:rsidRPr="00A42B05">
              <w:rPr>
                <w:rFonts w:cs="Calibri"/>
                <w:color w:val="000000" w:themeColor="text1"/>
                <w:szCs w:val="20"/>
                <w:lang w:val="en-US"/>
              </w:rPr>
              <w:t>inventory</w:t>
            </w:r>
            <w:proofErr w:type="gramEnd"/>
            <w:r w:rsidRPr="00A42B05">
              <w:rPr>
                <w:rFonts w:cs="Calibri"/>
                <w:color w:val="000000" w:themeColor="text1"/>
                <w:szCs w:val="20"/>
                <w:lang w:val="en-US"/>
              </w:rPr>
              <w:t xml:space="preserve"> step up</w:t>
            </w:r>
          </w:p>
        </w:tc>
        <w:tc>
          <w:tcPr>
            <w:tcW w:w="1520" w:type="dxa"/>
            <w:noWrap/>
            <w:hideMark/>
          </w:tcPr>
          <w:p w14:paraId="62AC5864" w14:textId="740408E4" w:rsidR="00AA4ACE" w:rsidRPr="00A42B05" w:rsidRDefault="00AA4ACE" w:rsidP="00AA4ACE">
            <w:pPr>
              <w:spacing w:before="0" w:after="0" w:line="276" w:lineRule="auto"/>
              <w:jc w:val="left"/>
              <w:rPr>
                <w:rFonts w:cs="Calibri"/>
                <w:color w:val="000000" w:themeColor="text1"/>
                <w:szCs w:val="20"/>
                <w:lang w:val="en-US"/>
              </w:rPr>
            </w:pPr>
            <w:r w:rsidRPr="00A42B05">
              <w:rPr>
                <w:rFonts w:cs="Calibri"/>
                <w:color w:val="000000" w:themeColor="text1"/>
                <w:szCs w:val="20"/>
                <w:lang w:val="en-US"/>
              </w:rPr>
              <w:t>330</w:t>
            </w:r>
            <w:r w:rsidR="00157F57" w:rsidRPr="00A42B05">
              <w:rPr>
                <w:rFonts w:cs="Calibri"/>
                <w:color w:val="000000" w:themeColor="text1"/>
                <w:szCs w:val="20"/>
                <w:lang w:val="en-US"/>
              </w:rPr>
              <w:t>,</w:t>
            </w:r>
            <w:r w:rsidRPr="00A42B05">
              <w:rPr>
                <w:rFonts w:cs="Calibri"/>
                <w:color w:val="000000" w:themeColor="text1"/>
                <w:szCs w:val="20"/>
                <w:lang w:val="en-US"/>
              </w:rPr>
              <w:t>000</w:t>
            </w:r>
          </w:p>
        </w:tc>
        <w:tc>
          <w:tcPr>
            <w:tcW w:w="1520" w:type="dxa"/>
            <w:noWrap/>
            <w:hideMark/>
          </w:tcPr>
          <w:p w14:paraId="08C7E6BF" w14:textId="77777777" w:rsidR="00AA4ACE" w:rsidRPr="00A42B05" w:rsidRDefault="00AA4ACE" w:rsidP="00AA4ACE">
            <w:pPr>
              <w:spacing w:before="0" w:after="0" w:line="276" w:lineRule="auto"/>
              <w:jc w:val="left"/>
              <w:rPr>
                <w:rFonts w:cs="Calibri"/>
                <w:color w:val="000000" w:themeColor="text1"/>
                <w:szCs w:val="20"/>
                <w:lang w:val="en-US"/>
              </w:rPr>
            </w:pPr>
            <w:r w:rsidRPr="00A42B05">
              <w:rPr>
                <w:rFonts w:cs="Calibri"/>
                <w:color w:val="000000" w:themeColor="text1"/>
                <w:szCs w:val="20"/>
                <w:lang w:val="en-US"/>
              </w:rPr>
              <w:t>0</w:t>
            </w:r>
          </w:p>
        </w:tc>
      </w:tr>
      <w:tr w:rsidR="00AA4ACE" w:rsidRPr="00AA4ACE" w14:paraId="77438A03" w14:textId="77777777" w:rsidTr="00AA4ACE">
        <w:trPr>
          <w:trHeight w:val="330"/>
        </w:trPr>
        <w:tc>
          <w:tcPr>
            <w:tcW w:w="3245" w:type="dxa"/>
            <w:noWrap/>
            <w:hideMark/>
          </w:tcPr>
          <w:p w14:paraId="3137D7C6" w14:textId="6979F120" w:rsidR="00AA4ACE" w:rsidRPr="00A42B05" w:rsidRDefault="00AA4ACE" w:rsidP="00AA4ACE">
            <w:pPr>
              <w:spacing w:before="0" w:after="0" w:line="276" w:lineRule="auto"/>
              <w:jc w:val="left"/>
              <w:rPr>
                <w:rFonts w:cs="Calibri"/>
                <w:color w:val="000000" w:themeColor="text1"/>
                <w:szCs w:val="20"/>
                <w:lang w:val="en-US"/>
              </w:rPr>
            </w:pPr>
            <w:r w:rsidRPr="00A42B05">
              <w:rPr>
                <w:rFonts w:cs="Calibri"/>
                <w:color w:val="000000" w:themeColor="text1"/>
                <w:szCs w:val="20"/>
                <w:lang w:val="en-US"/>
              </w:rPr>
              <w:t xml:space="preserve">SB </w:t>
            </w:r>
            <w:r w:rsidR="00A42B05" w:rsidRPr="00A42B05">
              <w:rPr>
                <w:rFonts w:cs="Calibri"/>
                <w:color w:val="000000" w:themeColor="text1"/>
                <w:szCs w:val="20"/>
                <w:lang w:val="en-US"/>
              </w:rPr>
              <w:t>commodity</w:t>
            </w:r>
            <w:r w:rsidRPr="00A42B05">
              <w:rPr>
                <w:rFonts w:cs="Calibri"/>
                <w:color w:val="000000" w:themeColor="text1"/>
                <w:szCs w:val="20"/>
                <w:lang w:val="en-US"/>
              </w:rPr>
              <w:t xml:space="preserve"> hedging</w:t>
            </w:r>
          </w:p>
        </w:tc>
        <w:tc>
          <w:tcPr>
            <w:tcW w:w="1520" w:type="dxa"/>
            <w:noWrap/>
            <w:hideMark/>
          </w:tcPr>
          <w:p w14:paraId="465D9D06" w14:textId="0406D2B2" w:rsidR="00AA4ACE" w:rsidRPr="00A42B05" w:rsidRDefault="00AA4ACE" w:rsidP="00AA4ACE">
            <w:pPr>
              <w:spacing w:before="0" w:after="0" w:line="276" w:lineRule="auto"/>
              <w:jc w:val="left"/>
              <w:rPr>
                <w:rFonts w:cs="Calibri"/>
                <w:color w:val="000000" w:themeColor="text1"/>
                <w:szCs w:val="20"/>
                <w:lang w:val="en-US"/>
              </w:rPr>
            </w:pPr>
            <w:r w:rsidRPr="00A42B05">
              <w:rPr>
                <w:rFonts w:cs="Calibri"/>
                <w:color w:val="000000" w:themeColor="text1"/>
                <w:szCs w:val="20"/>
                <w:lang w:val="en-US"/>
              </w:rPr>
              <w:t>43</w:t>
            </w:r>
            <w:r w:rsidR="00157F57" w:rsidRPr="00A42B05">
              <w:rPr>
                <w:rFonts w:cs="Calibri"/>
                <w:color w:val="000000" w:themeColor="text1"/>
                <w:szCs w:val="20"/>
                <w:lang w:val="en-US"/>
              </w:rPr>
              <w:t>,</w:t>
            </w:r>
            <w:r w:rsidRPr="00A42B05">
              <w:rPr>
                <w:rFonts w:cs="Calibri"/>
                <w:color w:val="000000" w:themeColor="text1"/>
                <w:szCs w:val="20"/>
                <w:lang w:val="en-US"/>
              </w:rPr>
              <w:t>193</w:t>
            </w:r>
          </w:p>
        </w:tc>
        <w:tc>
          <w:tcPr>
            <w:tcW w:w="1520" w:type="dxa"/>
            <w:noWrap/>
            <w:hideMark/>
          </w:tcPr>
          <w:p w14:paraId="105DBDB5" w14:textId="77777777" w:rsidR="00AA4ACE" w:rsidRPr="00A42B05" w:rsidRDefault="00AA4ACE" w:rsidP="00AA4ACE">
            <w:pPr>
              <w:spacing w:before="0" w:after="0" w:line="276" w:lineRule="auto"/>
              <w:jc w:val="left"/>
              <w:rPr>
                <w:rFonts w:cs="Calibri"/>
                <w:color w:val="000000" w:themeColor="text1"/>
                <w:szCs w:val="20"/>
                <w:lang w:val="en-US"/>
              </w:rPr>
            </w:pPr>
            <w:r w:rsidRPr="00A42B05">
              <w:rPr>
                <w:rFonts w:cs="Calibri"/>
                <w:color w:val="000000" w:themeColor="text1"/>
                <w:szCs w:val="20"/>
                <w:lang w:val="en-US"/>
              </w:rPr>
              <w:t>0</w:t>
            </w:r>
          </w:p>
        </w:tc>
      </w:tr>
      <w:tr w:rsidR="00AA4ACE" w:rsidRPr="00AA4ACE" w14:paraId="7272F769" w14:textId="77777777" w:rsidTr="00AA4ACE">
        <w:trPr>
          <w:trHeight w:val="330"/>
        </w:trPr>
        <w:tc>
          <w:tcPr>
            <w:tcW w:w="3245" w:type="dxa"/>
            <w:noWrap/>
            <w:hideMark/>
          </w:tcPr>
          <w:p w14:paraId="75129D4E" w14:textId="77777777" w:rsidR="00AA4ACE" w:rsidRPr="00A42B05" w:rsidRDefault="00AA4ACE" w:rsidP="00AA4ACE">
            <w:pPr>
              <w:spacing w:before="0" w:after="0" w:line="276" w:lineRule="auto"/>
              <w:jc w:val="left"/>
              <w:rPr>
                <w:rFonts w:cs="Calibri"/>
                <w:b/>
                <w:bCs/>
                <w:color w:val="000000" w:themeColor="text1"/>
                <w:szCs w:val="20"/>
                <w:lang w:val="en-US"/>
              </w:rPr>
            </w:pPr>
            <w:r w:rsidRPr="00A42B05">
              <w:rPr>
                <w:rFonts w:cs="Calibri"/>
                <w:b/>
                <w:bCs/>
                <w:color w:val="000000" w:themeColor="text1"/>
                <w:szCs w:val="20"/>
                <w:lang w:val="en-US"/>
              </w:rPr>
              <w:t>Adjusted EBITDA</w:t>
            </w:r>
          </w:p>
        </w:tc>
        <w:tc>
          <w:tcPr>
            <w:tcW w:w="1520" w:type="dxa"/>
            <w:noWrap/>
            <w:hideMark/>
          </w:tcPr>
          <w:p w14:paraId="6629C23A" w14:textId="27FD138F" w:rsidR="00AA4ACE" w:rsidRPr="00A42B05" w:rsidRDefault="00AA4ACE" w:rsidP="00AA4ACE">
            <w:pPr>
              <w:spacing w:before="0" w:after="0" w:line="276" w:lineRule="auto"/>
              <w:jc w:val="left"/>
              <w:rPr>
                <w:rFonts w:cs="Calibri"/>
                <w:color w:val="000000" w:themeColor="text1"/>
                <w:szCs w:val="20"/>
                <w:lang w:val="en-US"/>
              </w:rPr>
            </w:pPr>
            <w:r w:rsidRPr="00A42B05">
              <w:rPr>
                <w:rFonts w:cs="Calibri"/>
                <w:color w:val="000000" w:themeColor="text1"/>
                <w:szCs w:val="20"/>
                <w:lang w:val="en-US"/>
              </w:rPr>
              <w:t>3</w:t>
            </w:r>
            <w:r w:rsidR="00157F57" w:rsidRPr="00A42B05">
              <w:rPr>
                <w:rFonts w:cs="Calibri"/>
                <w:color w:val="000000" w:themeColor="text1"/>
                <w:szCs w:val="20"/>
                <w:lang w:val="en-US"/>
              </w:rPr>
              <w:t>,</w:t>
            </w:r>
            <w:r w:rsidRPr="00A42B05">
              <w:rPr>
                <w:rFonts w:cs="Calibri"/>
                <w:color w:val="000000" w:themeColor="text1"/>
                <w:szCs w:val="20"/>
                <w:lang w:val="en-US"/>
              </w:rPr>
              <w:t>020</w:t>
            </w:r>
            <w:r w:rsidR="00157F57" w:rsidRPr="00A42B05">
              <w:rPr>
                <w:rFonts w:cs="Calibri"/>
                <w:color w:val="000000" w:themeColor="text1"/>
                <w:szCs w:val="20"/>
                <w:lang w:val="en-US"/>
              </w:rPr>
              <w:t>,</w:t>
            </w:r>
            <w:r w:rsidRPr="00A42B05">
              <w:rPr>
                <w:rFonts w:cs="Calibri"/>
                <w:color w:val="000000" w:themeColor="text1"/>
                <w:szCs w:val="20"/>
                <w:lang w:val="en-US"/>
              </w:rPr>
              <w:t>957</w:t>
            </w:r>
          </w:p>
        </w:tc>
        <w:tc>
          <w:tcPr>
            <w:tcW w:w="1520" w:type="dxa"/>
            <w:noWrap/>
            <w:hideMark/>
          </w:tcPr>
          <w:p w14:paraId="6B0D25E0" w14:textId="5211716F" w:rsidR="00AA4ACE" w:rsidRPr="00A42B05" w:rsidRDefault="00AA4ACE" w:rsidP="00AA4ACE">
            <w:pPr>
              <w:spacing w:before="0" w:after="0" w:line="276" w:lineRule="auto"/>
              <w:jc w:val="left"/>
              <w:rPr>
                <w:rFonts w:cs="Calibri"/>
                <w:color w:val="000000" w:themeColor="text1"/>
                <w:szCs w:val="20"/>
                <w:lang w:val="en-US"/>
              </w:rPr>
            </w:pPr>
            <w:r w:rsidRPr="00A42B05">
              <w:rPr>
                <w:rFonts w:cs="Calibri"/>
                <w:color w:val="000000" w:themeColor="text1"/>
                <w:szCs w:val="20"/>
                <w:lang w:val="en-US"/>
              </w:rPr>
              <w:t>1</w:t>
            </w:r>
            <w:r w:rsidR="00157F57" w:rsidRPr="00A42B05">
              <w:rPr>
                <w:rFonts w:cs="Calibri"/>
                <w:color w:val="000000" w:themeColor="text1"/>
                <w:szCs w:val="20"/>
                <w:lang w:val="en-US"/>
              </w:rPr>
              <w:t>,</w:t>
            </w:r>
            <w:r w:rsidRPr="00A42B05">
              <w:rPr>
                <w:rFonts w:cs="Calibri"/>
                <w:color w:val="000000" w:themeColor="text1"/>
                <w:szCs w:val="20"/>
                <w:lang w:val="en-US"/>
              </w:rPr>
              <w:t>935</w:t>
            </w:r>
            <w:r w:rsidR="00157F57" w:rsidRPr="00A42B05">
              <w:rPr>
                <w:rFonts w:cs="Calibri"/>
                <w:color w:val="000000" w:themeColor="text1"/>
                <w:szCs w:val="20"/>
                <w:lang w:val="en-US"/>
              </w:rPr>
              <w:t>,</w:t>
            </w:r>
            <w:r w:rsidRPr="00A42B05">
              <w:rPr>
                <w:rFonts w:cs="Calibri"/>
                <w:color w:val="000000" w:themeColor="text1"/>
                <w:szCs w:val="20"/>
                <w:lang w:val="en-US"/>
              </w:rPr>
              <w:t>424</w:t>
            </w:r>
          </w:p>
        </w:tc>
      </w:tr>
      <w:tr w:rsidR="00AA4ACE" w:rsidRPr="00AA4ACE" w14:paraId="6C04A5D7" w14:textId="77777777" w:rsidTr="00AA4ACE">
        <w:trPr>
          <w:trHeight w:val="315"/>
        </w:trPr>
        <w:tc>
          <w:tcPr>
            <w:tcW w:w="3245" w:type="dxa"/>
            <w:noWrap/>
            <w:hideMark/>
          </w:tcPr>
          <w:p w14:paraId="3F8A6CDB" w14:textId="77777777" w:rsidR="00AA4ACE" w:rsidRPr="00A42B05" w:rsidRDefault="00AA4ACE" w:rsidP="00AA4ACE">
            <w:pPr>
              <w:spacing w:before="0" w:after="0" w:line="276" w:lineRule="auto"/>
              <w:jc w:val="left"/>
              <w:rPr>
                <w:rFonts w:cs="Calibri"/>
                <w:color w:val="000000" w:themeColor="text1"/>
                <w:szCs w:val="20"/>
                <w:lang w:val="en-US"/>
              </w:rPr>
            </w:pPr>
            <w:r w:rsidRPr="00A42B05">
              <w:rPr>
                <w:rFonts w:cs="Calibri"/>
                <w:color w:val="000000" w:themeColor="text1"/>
                <w:szCs w:val="20"/>
                <w:lang w:val="en-US"/>
              </w:rPr>
              <w:t>EBITDA MARGIN</w:t>
            </w:r>
          </w:p>
        </w:tc>
        <w:tc>
          <w:tcPr>
            <w:tcW w:w="1520" w:type="dxa"/>
            <w:noWrap/>
            <w:hideMark/>
          </w:tcPr>
          <w:p w14:paraId="3C7EF52F" w14:textId="27453B8A" w:rsidR="00AA4ACE" w:rsidRPr="00A42B05" w:rsidRDefault="00AA4ACE" w:rsidP="00AA4ACE">
            <w:pPr>
              <w:spacing w:before="0" w:after="0" w:line="276" w:lineRule="auto"/>
              <w:jc w:val="left"/>
              <w:rPr>
                <w:rFonts w:cs="Calibri"/>
                <w:color w:val="000000" w:themeColor="text1"/>
                <w:szCs w:val="20"/>
                <w:lang w:val="en-US"/>
              </w:rPr>
            </w:pPr>
            <w:r w:rsidRPr="00A42B05">
              <w:rPr>
                <w:rFonts w:cs="Calibri"/>
                <w:color w:val="000000" w:themeColor="text1"/>
                <w:szCs w:val="20"/>
                <w:lang w:val="en-US"/>
              </w:rPr>
              <w:t>20</w:t>
            </w:r>
            <w:r w:rsidR="003D5AF8" w:rsidRPr="00A42B05">
              <w:rPr>
                <w:rFonts w:cs="Calibri"/>
                <w:color w:val="000000" w:themeColor="text1"/>
                <w:szCs w:val="20"/>
                <w:lang w:val="en-US"/>
              </w:rPr>
              <w:t>.</w:t>
            </w:r>
            <w:r w:rsidRPr="00A42B05">
              <w:rPr>
                <w:rFonts w:cs="Calibri"/>
                <w:color w:val="000000" w:themeColor="text1"/>
                <w:szCs w:val="20"/>
                <w:lang w:val="en-US"/>
              </w:rPr>
              <w:t>2%</w:t>
            </w:r>
          </w:p>
        </w:tc>
        <w:tc>
          <w:tcPr>
            <w:tcW w:w="1520" w:type="dxa"/>
            <w:noWrap/>
            <w:hideMark/>
          </w:tcPr>
          <w:p w14:paraId="6D90EDEE" w14:textId="10519583" w:rsidR="00AA4ACE" w:rsidRPr="00A42B05" w:rsidRDefault="00AA4ACE" w:rsidP="00AA4ACE">
            <w:pPr>
              <w:spacing w:before="0" w:after="0" w:line="276" w:lineRule="auto"/>
              <w:jc w:val="left"/>
              <w:rPr>
                <w:rFonts w:cs="Calibri"/>
                <w:color w:val="000000" w:themeColor="text1"/>
                <w:szCs w:val="20"/>
                <w:lang w:val="en-US"/>
              </w:rPr>
            </w:pPr>
            <w:r w:rsidRPr="00A42B05">
              <w:rPr>
                <w:rFonts w:cs="Calibri"/>
                <w:color w:val="000000" w:themeColor="text1"/>
                <w:szCs w:val="20"/>
                <w:lang w:val="en-US"/>
              </w:rPr>
              <w:t>19</w:t>
            </w:r>
            <w:r w:rsidR="003D5AF8" w:rsidRPr="00A42B05">
              <w:rPr>
                <w:rFonts w:cs="Calibri"/>
                <w:color w:val="000000" w:themeColor="text1"/>
                <w:szCs w:val="20"/>
                <w:lang w:val="en-US"/>
              </w:rPr>
              <w:t>.</w:t>
            </w:r>
            <w:r w:rsidRPr="00A42B05">
              <w:rPr>
                <w:rFonts w:cs="Calibri"/>
                <w:color w:val="000000" w:themeColor="text1"/>
                <w:szCs w:val="20"/>
                <w:lang w:val="en-US"/>
              </w:rPr>
              <w:t>5%</w:t>
            </w:r>
          </w:p>
        </w:tc>
      </w:tr>
    </w:tbl>
    <w:p w14:paraId="42AEC285" w14:textId="77777777" w:rsidR="00AA4ACE" w:rsidRDefault="00AA4ACE" w:rsidP="00AA4ACE">
      <w:pPr>
        <w:spacing w:before="0" w:after="0" w:line="276" w:lineRule="auto"/>
        <w:jc w:val="left"/>
        <w:rPr>
          <w:rFonts w:cs="Calibri"/>
          <w:color w:val="000000" w:themeColor="text1"/>
          <w:szCs w:val="20"/>
          <w:lang w:val="en-US"/>
        </w:rPr>
      </w:pPr>
    </w:p>
    <w:p w14:paraId="4617B16E" w14:textId="4BF51C83" w:rsidR="00AA4ACE" w:rsidRPr="007B3E35" w:rsidRDefault="00AA4ACE" w:rsidP="00AA4ACE">
      <w:pPr>
        <w:spacing w:before="0" w:after="0" w:line="276" w:lineRule="auto"/>
        <w:jc w:val="left"/>
        <w:rPr>
          <w:rFonts w:cs="Calibri"/>
          <w:b/>
          <w:bCs/>
          <w:color w:val="000000" w:themeColor="text1"/>
          <w:szCs w:val="20"/>
          <w:lang w:val="en-US"/>
        </w:rPr>
      </w:pPr>
      <w:r w:rsidRPr="007B3E35">
        <w:rPr>
          <w:rFonts w:cs="Calibri"/>
          <w:b/>
          <w:bCs/>
          <w:color w:val="000000" w:themeColor="text1"/>
          <w:szCs w:val="20"/>
          <w:lang w:val="en-US"/>
        </w:rPr>
        <w:t xml:space="preserve">Adjusted </w:t>
      </w:r>
      <w:r w:rsidR="0071728C" w:rsidRPr="007B3E35">
        <w:rPr>
          <w:rFonts w:cs="Calibri"/>
          <w:b/>
          <w:bCs/>
          <w:color w:val="000000" w:themeColor="text1"/>
          <w:szCs w:val="20"/>
          <w:lang w:val="en-US"/>
        </w:rPr>
        <w:t>net profit</w:t>
      </w:r>
    </w:p>
    <w:p w14:paraId="16C42B16" w14:textId="77777777" w:rsidR="00AA4ACE" w:rsidRDefault="00AA4ACE" w:rsidP="00AA4ACE">
      <w:pPr>
        <w:spacing w:before="0" w:after="0" w:line="276" w:lineRule="auto"/>
        <w:jc w:val="left"/>
        <w:rPr>
          <w:rFonts w:cs="Calibri"/>
          <w:color w:val="000000" w:themeColor="text1"/>
          <w:szCs w:val="20"/>
          <w:lang w:val="en-US"/>
        </w:rPr>
      </w:pPr>
    </w:p>
    <w:tbl>
      <w:tblPr>
        <w:tblStyle w:val="Mkatabulky"/>
        <w:tblW w:w="0" w:type="auto"/>
        <w:tblLook w:val="04A0" w:firstRow="1" w:lastRow="0" w:firstColumn="1" w:lastColumn="0" w:noHBand="0" w:noVBand="1"/>
      </w:tblPr>
      <w:tblGrid>
        <w:gridCol w:w="3245"/>
        <w:gridCol w:w="1520"/>
        <w:gridCol w:w="1520"/>
      </w:tblGrid>
      <w:tr w:rsidR="0071728C" w:rsidRPr="00AA4ACE" w14:paraId="18B557B9" w14:textId="77777777" w:rsidTr="00AA4ACE">
        <w:trPr>
          <w:trHeight w:val="315"/>
        </w:trPr>
        <w:tc>
          <w:tcPr>
            <w:tcW w:w="3245" w:type="dxa"/>
            <w:noWrap/>
            <w:hideMark/>
          </w:tcPr>
          <w:p w14:paraId="095B15FB" w14:textId="4AE6E4DE" w:rsidR="0071728C" w:rsidRPr="00A42B05" w:rsidRDefault="00336449" w:rsidP="0071728C">
            <w:pPr>
              <w:spacing w:before="0" w:after="0" w:line="276" w:lineRule="auto"/>
              <w:jc w:val="left"/>
              <w:rPr>
                <w:rFonts w:cs="Calibri"/>
                <w:color w:val="000000" w:themeColor="text1"/>
                <w:szCs w:val="20"/>
                <w:lang w:val="en-US"/>
              </w:rPr>
            </w:pPr>
            <w:r>
              <w:rPr>
                <w:rFonts w:cs="Calibri"/>
                <w:color w:val="000000" w:themeColor="text1"/>
                <w:szCs w:val="20"/>
                <w:lang w:val="en-US"/>
              </w:rPr>
              <w:t>(</w:t>
            </w:r>
            <w:r w:rsidRPr="00336449">
              <w:rPr>
                <w:rFonts w:cs="Calibri"/>
                <w:color w:val="000000" w:themeColor="text1"/>
                <w:szCs w:val="20"/>
                <w:lang w:val="en-US"/>
              </w:rPr>
              <w:t>in CZK thousand)</w:t>
            </w:r>
          </w:p>
        </w:tc>
        <w:tc>
          <w:tcPr>
            <w:tcW w:w="1520" w:type="dxa"/>
            <w:noWrap/>
            <w:hideMark/>
          </w:tcPr>
          <w:p w14:paraId="0666EED1" w14:textId="4346F871" w:rsidR="0071728C" w:rsidRPr="00A42B05" w:rsidRDefault="0071728C" w:rsidP="0071728C">
            <w:pPr>
              <w:spacing w:before="0" w:after="0" w:line="276" w:lineRule="auto"/>
              <w:jc w:val="left"/>
              <w:rPr>
                <w:rFonts w:cs="Calibri"/>
                <w:color w:val="000000" w:themeColor="text1"/>
                <w:szCs w:val="20"/>
                <w:lang w:val="en-US"/>
              </w:rPr>
            </w:pPr>
            <w:r w:rsidRPr="00A42B05">
              <w:rPr>
                <w:rFonts w:cs="Calibri"/>
                <w:color w:val="000000" w:themeColor="text1"/>
                <w:szCs w:val="20"/>
                <w:lang w:val="en-US"/>
              </w:rPr>
              <w:t>30.09.2024</w:t>
            </w:r>
          </w:p>
        </w:tc>
        <w:tc>
          <w:tcPr>
            <w:tcW w:w="1520" w:type="dxa"/>
            <w:noWrap/>
            <w:hideMark/>
          </w:tcPr>
          <w:p w14:paraId="35E476FB" w14:textId="14B5DDEF" w:rsidR="0071728C" w:rsidRPr="00A42B05" w:rsidRDefault="0071728C" w:rsidP="0071728C">
            <w:pPr>
              <w:spacing w:before="0" w:after="0" w:line="276" w:lineRule="auto"/>
              <w:jc w:val="left"/>
              <w:rPr>
                <w:rFonts w:cs="Calibri"/>
                <w:color w:val="000000" w:themeColor="text1"/>
                <w:szCs w:val="20"/>
                <w:lang w:val="en-US"/>
              </w:rPr>
            </w:pPr>
            <w:r w:rsidRPr="00A42B05">
              <w:rPr>
                <w:rFonts w:cs="Calibri"/>
                <w:color w:val="000000" w:themeColor="text1"/>
                <w:szCs w:val="20"/>
                <w:lang w:val="en-US"/>
              </w:rPr>
              <w:t>30.09.2023</w:t>
            </w:r>
          </w:p>
        </w:tc>
      </w:tr>
      <w:tr w:rsidR="0071728C" w:rsidRPr="00AA4ACE" w14:paraId="40C331B6" w14:textId="77777777" w:rsidTr="00AA4ACE">
        <w:trPr>
          <w:trHeight w:val="315"/>
        </w:trPr>
        <w:tc>
          <w:tcPr>
            <w:tcW w:w="3245" w:type="dxa"/>
            <w:noWrap/>
          </w:tcPr>
          <w:p w14:paraId="67596ED6" w14:textId="77777777" w:rsidR="0071728C" w:rsidRPr="00A42B05" w:rsidRDefault="0071728C" w:rsidP="0071728C">
            <w:pPr>
              <w:spacing w:before="0" w:after="0" w:line="276" w:lineRule="auto"/>
              <w:jc w:val="left"/>
              <w:rPr>
                <w:rFonts w:cs="Calibri"/>
                <w:color w:val="000000" w:themeColor="text1"/>
                <w:szCs w:val="20"/>
                <w:lang w:val="en-US"/>
              </w:rPr>
            </w:pPr>
          </w:p>
        </w:tc>
        <w:tc>
          <w:tcPr>
            <w:tcW w:w="1520" w:type="dxa"/>
            <w:noWrap/>
          </w:tcPr>
          <w:p w14:paraId="6CFDEF71" w14:textId="77777777" w:rsidR="0071728C" w:rsidRPr="00A42B05" w:rsidRDefault="0071728C" w:rsidP="0071728C">
            <w:pPr>
              <w:spacing w:before="0" w:after="0" w:line="276" w:lineRule="auto"/>
              <w:jc w:val="left"/>
              <w:rPr>
                <w:rFonts w:cs="Calibri"/>
                <w:color w:val="000000" w:themeColor="text1"/>
                <w:szCs w:val="20"/>
                <w:lang w:val="en-US"/>
              </w:rPr>
            </w:pPr>
          </w:p>
        </w:tc>
        <w:tc>
          <w:tcPr>
            <w:tcW w:w="1520" w:type="dxa"/>
            <w:noWrap/>
          </w:tcPr>
          <w:p w14:paraId="64D7AAE0" w14:textId="77777777" w:rsidR="0071728C" w:rsidRPr="00A42B05" w:rsidRDefault="0071728C" w:rsidP="0071728C">
            <w:pPr>
              <w:spacing w:before="0" w:after="0" w:line="276" w:lineRule="auto"/>
              <w:jc w:val="left"/>
              <w:rPr>
                <w:rFonts w:cs="Calibri"/>
                <w:color w:val="000000" w:themeColor="text1"/>
                <w:szCs w:val="20"/>
                <w:lang w:val="en-US"/>
              </w:rPr>
            </w:pPr>
          </w:p>
        </w:tc>
      </w:tr>
      <w:tr w:rsidR="0071728C" w:rsidRPr="00AA4ACE" w14:paraId="63F54BC0" w14:textId="77777777" w:rsidTr="00AA4ACE">
        <w:trPr>
          <w:trHeight w:val="315"/>
        </w:trPr>
        <w:tc>
          <w:tcPr>
            <w:tcW w:w="3245" w:type="dxa"/>
            <w:noWrap/>
            <w:hideMark/>
          </w:tcPr>
          <w:p w14:paraId="7FF31431" w14:textId="77777777" w:rsidR="0071728C" w:rsidRPr="00A42B05" w:rsidRDefault="0071728C" w:rsidP="0071728C">
            <w:pPr>
              <w:spacing w:before="0" w:after="0" w:line="276" w:lineRule="auto"/>
              <w:jc w:val="left"/>
              <w:rPr>
                <w:rFonts w:cs="Calibri"/>
                <w:b/>
                <w:bCs/>
                <w:color w:val="000000" w:themeColor="text1"/>
                <w:szCs w:val="20"/>
                <w:lang w:val="en-US"/>
              </w:rPr>
            </w:pPr>
            <w:r w:rsidRPr="00A42B05">
              <w:rPr>
                <w:rFonts w:cs="Calibri"/>
                <w:b/>
                <w:bCs/>
                <w:color w:val="000000" w:themeColor="text1"/>
                <w:szCs w:val="20"/>
                <w:lang w:val="en-US"/>
              </w:rPr>
              <w:t>Profit before tax</w:t>
            </w:r>
          </w:p>
        </w:tc>
        <w:tc>
          <w:tcPr>
            <w:tcW w:w="1520" w:type="dxa"/>
            <w:noWrap/>
            <w:hideMark/>
          </w:tcPr>
          <w:p w14:paraId="2B5AA0A6" w14:textId="2890593D" w:rsidR="0071728C" w:rsidRPr="00A42B05" w:rsidRDefault="0071728C" w:rsidP="0071728C">
            <w:pPr>
              <w:spacing w:before="0" w:after="0" w:line="276" w:lineRule="auto"/>
              <w:jc w:val="left"/>
              <w:rPr>
                <w:rFonts w:cs="Calibri"/>
                <w:b/>
                <w:bCs/>
                <w:color w:val="000000" w:themeColor="text1"/>
                <w:szCs w:val="20"/>
                <w:lang w:val="en-US"/>
              </w:rPr>
            </w:pPr>
            <w:r w:rsidRPr="00A42B05">
              <w:rPr>
                <w:rFonts w:cs="Calibri"/>
                <w:b/>
                <w:bCs/>
                <w:color w:val="000000" w:themeColor="text1"/>
                <w:szCs w:val="20"/>
                <w:lang w:val="en-US"/>
              </w:rPr>
              <w:t>920</w:t>
            </w:r>
            <w:r w:rsidR="00157F57" w:rsidRPr="00A42B05">
              <w:rPr>
                <w:rFonts w:cs="Calibri"/>
                <w:b/>
                <w:bCs/>
                <w:color w:val="000000" w:themeColor="text1"/>
                <w:szCs w:val="20"/>
                <w:lang w:val="en-US"/>
              </w:rPr>
              <w:t>,</w:t>
            </w:r>
            <w:r w:rsidRPr="00A42B05">
              <w:rPr>
                <w:rFonts w:cs="Calibri"/>
                <w:b/>
                <w:bCs/>
                <w:color w:val="000000" w:themeColor="text1"/>
                <w:szCs w:val="20"/>
                <w:lang w:val="en-US"/>
              </w:rPr>
              <w:t>864</w:t>
            </w:r>
          </w:p>
        </w:tc>
        <w:tc>
          <w:tcPr>
            <w:tcW w:w="1520" w:type="dxa"/>
            <w:noWrap/>
            <w:hideMark/>
          </w:tcPr>
          <w:p w14:paraId="4ED1DC17" w14:textId="5838FD62" w:rsidR="0071728C" w:rsidRPr="00A42B05" w:rsidRDefault="0071728C" w:rsidP="0071728C">
            <w:pPr>
              <w:spacing w:before="0" w:after="0" w:line="276" w:lineRule="auto"/>
              <w:jc w:val="left"/>
              <w:rPr>
                <w:rFonts w:cs="Calibri"/>
                <w:b/>
                <w:bCs/>
                <w:color w:val="000000" w:themeColor="text1"/>
                <w:szCs w:val="20"/>
                <w:lang w:val="en-US"/>
              </w:rPr>
            </w:pPr>
            <w:r w:rsidRPr="00A42B05">
              <w:rPr>
                <w:rFonts w:cs="Calibri"/>
                <w:b/>
                <w:bCs/>
                <w:color w:val="000000" w:themeColor="text1"/>
                <w:szCs w:val="20"/>
                <w:lang w:val="en-US"/>
              </w:rPr>
              <w:t>1</w:t>
            </w:r>
            <w:r w:rsidR="00157F57" w:rsidRPr="00A42B05">
              <w:rPr>
                <w:rFonts w:cs="Calibri"/>
                <w:b/>
                <w:bCs/>
                <w:color w:val="000000" w:themeColor="text1"/>
                <w:szCs w:val="20"/>
                <w:lang w:val="en-US"/>
              </w:rPr>
              <w:t>,</w:t>
            </w:r>
            <w:r w:rsidRPr="00A42B05">
              <w:rPr>
                <w:rFonts w:cs="Calibri"/>
                <w:b/>
                <w:bCs/>
                <w:color w:val="000000" w:themeColor="text1"/>
                <w:szCs w:val="20"/>
                <w:lang w:val="en-US"/>
              </w:rPr>
              <w:t>891</w:t>
            </w:r>
            <w:r w:rsidR="00157F57" w:rsidRPr="00A42B05">
              <w:rPr>
                <w:rFonts w:cs="Calibri"/>
                <w:b/>
                <w:bCs/>
                <w:color w:val="000000" w:themeColor="text1"/>
                <w:szCs w:val="20"/>
                <w:lang w:val="en-US"/>
              </w:rPr>
              <w:t>,</w:t>
            </w:r>
            <w:r w:rsidRPr="00A42B05">
              <w:rPr>
                <w:rFonts w:cs="Calibri"/>
                <w:b/>
                <w:bCs/>
                <w:color w:val="000000" w:themeColor="text1"/>
                <w:szCs w:val="20"/>
                <w:lang w:val="en-US"/>
              </w:rPr>
              <w:t>596</w:t>
            </w:r>
          </w:p>
        </w:tc>
      </w:tr>
      <w:tr w:rsidR="0071728C" w:rsidRPr="00AA4ACE" w14:paraId="765EE0D3" w14:textId="77777777" w:rsidTr="00AA4ACE">
        <w:trPr>
          <w:trHeight w:val="315"/>
        </w:trPr>
        <w:tc>
          <w:tcPr>
            <w:tcW w:w="3245" w:type="dxa"/>
            <w:noWrap/>
            <w:hideMark/>
          </w:tcPr>
          <w:p w14:paraId="5467E615" w14:textId="77777777" w:rsidR="0071728C" w:rsidRPr="00A42B05" w:rsidRDefault="0071728C" w:rsidP="0071728C">
            <w:pPr>
              <w:spacing w:before="0" w:after="0" w:line="276" w:lineRule="auto"/>
              <w:jc w:val="left"/>
              <w:rPr>
                <w:rFonts w:cs="Calibri"/>
                <w:color w:val="000000" w:themeColor="text1"/>
                <w:szCs w:val="20"/>
                <w:lang w:val="en-US"/>
              </w:rPr>
            </w:pPr>
            <w:r w:rsidRPr="00A42B05">
              <w:rPr>
                <w:rFonts w:cs="Calibri"/>
                <w:color w:val="000000" w:themeColor="text1"/>
                <w:szCs w:val="20"/>
                <w:lang w:val="en-US"/>
              </w:rPr>
              <w:t>ESOP</w:t>
            </w:r>
          </w:p>
        </w:tc>
        <w:tc>
          <w:tcPr>
            <w:tcW w:w="1520" w:type="dxa"/>
            <w:noWrap/>
            <w:hideMark/>
          </w:tcPr>
          <w:p w14:paraId="30F28B99" w14:textId="259483DF" w:rsidR="0071728C" w:rsidRPr="00A42B05" w:rsidRDefault="0071728C" w:rsidP="0071728C">
            <w:pPr>
              <w:spacing w:before="0" w:after="0" w:line="276" w:lineRule="auto"/>
              <w:jc w:val="left"/>
              <w:rPr>
                <w:rFonts w:cs="Calibri"/>
                <w:color w:val="000000" w:themeColor="text1"/>
                <w:szCs w:val="20"/>
                <w:lang w:val="en-US"/>
              </w:rPr>
            </w:pPr>
            <w:r w:rsidRPr="00A42B05">
              <w:rPr>
                <w:rFonts w:cs="Calibri"/>
                <w:color w:val="000000" w:themeColor="text1"/>
                <w:szCs w:val="20"/>
                <w:lang w:val="en-US"/>
              </w:rPr>
              <w:t>402</w:t>
            </w:r>
            <w:r w:rsidR="00157F57" w:rsidRPr="00A42B05">
              <w:rPr>
                <w:rFonts w:cs="Calibri"/>
                <w:color w:val="000000" w:themeColor="text1"/>
                <w:szCs w:val="20"/>
                <w:lang w:val="en-US"/>
              </w:rPr>
              <w:t>,</w:t>
            </w:r>
            <w:r w:rsidRPr="00A42B05">
              <w:rPr>
                <w:rFonts w:cs="Calibri"/>
                <w:color w:val="000000" w:themeColor="text1"/>
                <w:szCs w:val="20"/>
                <w:lang w:val="en-US"/>
              </w:rPr>
              <w:t>456</w:t>
            </w:r>
          </w:p>
        </w:tc>
        <w:tc>
          <w:tcPr>
            <w:tcW w:w="1520" w:type="dxa"/>
            <w:noWrap/>
            <w:hideMark/>
          </w:tcPr>
          <w:p w14:paraId="63E2297F" w14:textId="38585A8E" w:rsidR="0071728C" w:rsidRPr="00A42B05" w:rsidRDefault="0071728C" w:rsidP="0071728C">
            <w:pPr>
              <w:spacing w:before="0" w:after="0" w:line="276" w:lineRule="auto"/>
              <w:jc w:val="left"/>
              <w:rPr>
                <w:rFonts w:cs="Calibri"/>
                <w:color w:val="000000" w:themeColor="text1"/>
                <w:szCs w:val="20"/>
                <w:lang w:val="en-US"/>
              </w:rPr>
            </w:pPr>
            <w:r w:rsidRPr="00A42B05">
              <w:rPr>
                <w:rFonts w:cs="Calibri"/>
                <w:color w:val="000000" w:themeColor="text1"/>
                <w:szCs w:val="20"/>
                <w:lang w:val="en-US"/>
              </w:rPr>
              <w:t>228</w:t>
            </w:r>
            <w:r w:rsidR="00157F57" w:rsidRPr="00A42B05">
              <w:rPr>
                <w:rFonts w:cs="Calibri"/>
                <w:color w:val="000000" w:themeColor="text1"/>
                <w:szCs w:val="20"/>
                <w:lang w:val="en-US"/>
              </w:rPr>
              <w:t>,</w:t>
            </w:r>
            <w:r w:rsidRPr="00A42B05">
              <w:rPr>
                <w:rFonts w:cs="Calibri"/>
                <w:color w:val="000000" w:themeColor="text1"/>
                <w:szCs w:val="20"/>
                <w:lang w:val="en-US"/>
              </w:rPr>
              <w:t>475</w:t>
            </w:r>
          </w:p>
        </w:tc>
      </w:tr>
      <w:tr w:rsidR="0071728C" w:rsidRPr="00AA4ACE" w14:paraId="0F0BFEFF" w14:textId="77777777" w:rsidTr="00AA4ACE">
        <w:trPr>
          <w:trHeight w:val="315"/>
        </w:trPr>
        <w:tc>
          <w:tcPr>
            <w:tcW w:w="3245" w:type="dxa"/>
            <w:noWrap/>
            <w:hideMark/>
          </w:tcPr>
          <w:p w14:paraId="30E3E9E0" w14:textId="1AA45A88" w:rsidR="0071728C" w:rsidRPr="00A42B05" w:rsidRDefault="0071728C" w:rsidP="0071728C">
            <w:pPr>
              <w:spacing w:before="0" w:after="0" w:line="276" w:lineRule="auto"/>
              <w:jc w:val="left"/>
              <w:rPr>
                <w:rFonts w:cs="Calibri"/>
                <w:color w:val="000000" w:themeColor="text1"/>
                <w:szCs w:val="20"/>
                <w:lang w:val="en-US"/>
              </w:rPr>
            </w:pPr>
            <w:r w:rsidRPr="00A42B05">
              <w:rPr>
                <w:rFonts w:cs="Calibri"/>
                <w:color w:val="000000" w:themeColor="text1"/>
                <w:szCs w:val="20"/>
                <w:lang w:val="en-US"/>
              </w:rPr>
              <w:t>M&amp;A (unrealized)</w:t>
            </w:r>
          </w:p>
        </w:tc>
        <w:tc>
          <w:tcPr>
            <w:tcW w:w="1520" w:type="dxa"/>
            <w:noWrap/>
            <w:hideMark/>
          </w:tcPr>
          <w:p w14:paraId="32900D85" w14:textId="77777777" w:rsidR="0071728C" w:rsidRPr="00A42B05" w:rsidRDefault="0071728C" w:rsidP="0071728C">
            <w:pPr>
              <w:spacing w:before="0" w:after="0" w:line="276" w:lineRule="auto"/>
              <w:jc w:val="left"/>
              <w:rPr>
                <w:rFonts w:cs="Calibri"/>
                <w:color w:val="000000" w:themeColor="text1"/>
                <w:szCs w:val="20"/>
                <w:lang w:val="en-US"/>
              </w:rPr>
            </w:pPr>
            <w:r w:rsidRPr="00A42B05">
              <w:rPr>
                <w:rFonts w:cs="Calibri"/>
                <w:color w:val="000000" w:themeColor="text1"/>
                <w:szCs w:val="20"/>
                <w:lang w:val="en-US"/>
              </w:rPr>
              <w:t>962</w:t>
            </w:r>
          </w:p>
        </w:tc>
        <w:tc>
          <w:tcPr>
            <w:tcW w:w="1520" w:type="dxa"/>
            <w:noWrap/>
            <w:hideMark/>
          </w:tcPr>
          <w:p w14:paraId="5B63644F" w14:textId="77777777" w:rsidR="0071728C" w:rsidRPr="00A42B05" w:rsidRDefault="0071728C" w:rsidP="0071728C">
            <w:pPr>
              <w:spacing w:before="0" w:after="0" w:line="276" w:lineRule="auto"/>
              <w:jc w:val="left"/>
              <w:rPr>
                <w:rFonts w:cs="Calibri"/>
                <w:color w:val="000000" w:themeColor="text1"/>
                <w:szCs w:val="20"/>
                <w:lang w:val="en-US"/>
              </w:rPr>
            </w:pPr>
            <w:r w:rsidRPr="00A42B05">
              <w:rPr>
                <w:rFonts w:cs="Calibri"/>
                <w:color w:val="000000" w:themeColor="text1"/>
                <w:szCs w:val="20"/>
                <w:lang w:val="en-US"/>
              </w:rPr>
              <w:t>268</w:t>
            </w:r>
          </w:p>
        </w:tc>
      </w:tr>
      <w:tr w:rsidR="0071728C" w:rsidRPr="00AA4ACE" w14:paraId="1AB9480F" w14:textId="77777777" w:rsidTr="00AA4ACE">
        <w:trPr>
          <w:trHeight w:val="315"/>
        </w:trPr>
        <w:tc>
          <w:tcPr>
            <w:tcW w:w="3245" w:type="dxa"/>
            <w:noWrap/>
            <w:hideMark/>
          </w:tcPr>
          <w:p w14:paraId="5A423D60" w14:textId="77777777" w:rsidR="0071728C" w:rsidRPr="00A42B05" w:rsidRDefault="0071728C" w:rsidP="0071728C">
            <w:pPr>
              <w:spacing w:before="0" w:after="0" w:line="276" w:lineRule="auto"/>
              <w:jc w:val="left"/>
              <w:rPr>
                <w:rFonts w:cs="Calibri"/>
                <w:color w:val="000000" w:themeColor="text1"/>
                <w:szCs w:val="20"/>
                <w:lang w:val="en-US"/>
              </w:rPr>
            </w:pPr>
            <w:r w:rsidRPr="00A42B05">
              <w:rPr>
                <w:rFonts w:cs="Calibri"/>
                <w:color w:val="000000" w:themeColor="text1"/>
                <w:szCs w:val="20"/>
                <w:lang w:val="en-US"/>
              </w:rPr>
              <w:t xml:space="preserve">SB </w:t>
            </w:r>
            <w:proofErr w:type="gramStart"/>
            <w:r w:rsidRPr="00A42B05">
              <w:rPr>
                <w:rFonts w:cs="Calibri"/>
                <w:color w:val="000000" w:themeColor="text1"/>
                <w:szCs w:val="20"/>
                <w:lang w:val="en-US"/>
              </w:rPr>
              <w:t>inventory</w:t>
            </w:r>
            <w:proofErr w:type="gramEnd"/>
            <w:r w:rsidRPr="00A42B05">
              <w:rPr>
                <w:rFonts w:cs="Calibri"/>
                <w:color w:val="000000" w:themeColor="text1"/>
                <w:szCs w:val="20"/>
                <w:lang w:val="en-US"/>
              </w:rPr>
              <w:t xml:space="preserve"> step up</w:t>
            </w:r>
          </w:p>
        </w:tc>
        <w:tc>
          <w:tcPr>
            <w:tcW w:w="1520" w:type="dxa"/>
            <w:noWrap/>
            <w:hideMark/>
          </w:tcPr>
          <w:p w14:paraId="3A396351" w14:textId="23E3BDA9" w:rsidR="0071728C" w:rsidRPr="00A42B05" w:rsidRDefault="0071728C" w:rsidP="0071728C">
            <w:pPr>
              <w:spacing w:before="0" w:after="0" w:line="276" w:lineRule="auto"/>
              <w:jc w:val="left"/>
              <w:rPr>
                <w:rFonts w:cs="Calibri"/>
                <w:color w:val="000000" w:themeColor="text1"/>
                <w:szCs w:val="20"/>
                <w:lang w:val="en-US"/>
              </w:rPr>
            </w:pPr>
            <w:r w:rsidRPr="00A42B05">
              <w:rPr>
                <w:rFonts w:cs="Calibri"/>
                <w:color w:val="000000" w:themeColor="text1"/>
                <w:szCs w:val="20"/>
                <w:lang w:val="en-US"/>
              </w:rPr>
              <w:t>330</w:t>
            </w:r>
            <w:r w:rsidR="00157F57" w:rsidRPr="00A42B05">
              <w:rPr>
                <w:rFonts w:cs="Calibri"/>
                <w:color w:val="000000" w:themeColor="text1"/>
                <w:szCs w:val="20"/>
                <w:lang w:val="en-US"/>
              </w:rPr>
              <w:t>,</w:t>
            </w:r>
            <w:r w:rsidRPr="00A42B05">
              <w:rPr>
                <w:rFonts w:cs="Calibri"/>
                <w:color w:val="000000" w:themeColor="text1"/>
                <w:szCs w:val="20"/>
                <w:lang w:val="en-US"/>
              </w:rPr>
              <w:t>000</w:t>
            </w:r>
          </w:p>
        </w:tc>
        <w:tc>
          <w:tcPr>
            <w:tcW w:w="1520" w:type="dxa"/>
            <w:noWrap/>
            <w:hideMark/>
          </w:tcPr>
          <w:p w14:paraId="46A3F34A" w14:textId="77777777" w:rsidR="0071728C" w:rsidRPr="00A42B05" w:rsidRDefault="0071728C" w:rsidP="0071728C">
            <w:pPr>
              <w:spacing w:before="0" w:after="0" w:line="276" w:lineRule="auto"/>
              <w:jc w:val="left"/>
              <w:rPr>
                <w:rFonts w:cs="Calibri"/>
                <w:color w:val="000000" w:themeColor="text1"/>
                <w:szCs w:val="20"/>
                <w:lang w:val="en-US"/>
              </w:rPr>
            </w:pPr>
            <w:r w:rsidRPr="00A42B05">
              <w:rPr>
                <w:rFonts w:cs="Calibri"/>
                <w:color w:val="000000" w:themeColor="text1"/>
                <w:szCs w:val="20"/>
                <w:lang w:val="en-US"/>
              </w:rPr>
              <w:t>0</w:t>
            </w:r>
          </w:p>
        </w:tc>
      </w:tr>
      <w:tr w:rsidR="0071728C" w:rsidRPr="00AA4ACE" w14:paraId="478DA22D" w14:textId="77777777" w:rsidTr="00AA4ACE">
        <w:trPr>
          <w:trHeight w:val="330"/>
        </w:trPr>
        <w:tc>
          <w:tcPr>
            <w:tcW w:w="3245" w:type="dxa"/>
            <w:noWrap/>
            <w:hideMark/>
          </w:tcPr>
          <w:p w14:paraId="510E29AF" w14:textId="6E2A4366" w:rsidR="0071728C" w:rsidRPr="00A42B05" w:rsidRDefault="0071728C" w:rsidP="0071728C">
            <w:pPr>
              <w:spacing w:before="0" w:after="0" w:line="276" w:lineRule="auto"/>
              <w:jc w:val="left"/>
              <w:rPr>
                <w:rFonts w:cs="Calibri"/>
                <w:color w:val="000000" w:themeColor="text1"/>
                <w:szCs w:val="20"/>
                <w:lang w:val="en-US"/>
              </w:rPr>
            </w:pPr>
            <w:r w:rsidRPr="00A42B05">
              <w:rPr>
                <w:rFonts w:cs="Calibri"/>
                <w:color w:val="000000" w:themeColor="text1"/>
                <w:szCs w:val="20"/>
                <w:lang w:val="en-US"/>
              </w:rPr>
              <w:t xml:space="preserve">SB </w:t>
            </w:r>
            <w:r w:rsidR="00A42B05" w:rsidRPr="00A42B05">
              <w:rPr>
                <w:rFonts w:cs="Calibri"/>
                <w:color w:val="000000" w:themeColor="text1"/>
                <w:szCs w:val="20"/>
                <w:lang w:val="en-US"/>
              </w:rPr>
              <w:t>commodity</w:t>
            </w:r>
            <w:r w:rsidRPr="00A42B05">
              <w:rPr>
                <w:rFonts w:cs="Calibri"/>
                <w:color w:val="000000" w:themeColor="text1"/>
                <w:szCs w:val="20"/>
                <w:lang w:val="en-US"/>
              </w:rPr>
              <w:t xml:space="preserve"> hedging/negative goodwill</w:t>
            </w:r>
          </w:p>
        </w:tc>
        <w:tc>
          <w:tcPr>
            <w:tcW w:w="1520" w:type="dxa"/>
            <w:noWrap/>
            <w:hideMark/>
          </w:tcPr>
          <w:p w14:paraId="27620E4B" w14:textId="74AA3C99" w:rsidR="0071728C" w:rsidRPr="00A42B05" w:rsidRDefault="0071728C" w:rsidP="0071728C">
            <w:pPr>
              <w:spacing w:before="0" w:after="0" w:line="276" w:lineRule="auto"/>
              <w:jc w:val="left"/>
              <w:rPr>
                <w:rFonts w:cs="Calibri"/>
                <w:color w:val="000000" w:themeColor="text1"/>
                <w:szCs w:val="20"/>
                <w:lang w:val="en-US"/>
              </w:rPr>
            </w:pPr>
            <w:r w:rsidRPr="00A42B05">
              <w:rPr>
                <w:rFonts w:cs="Calibri"/>
                <w:color w:val="000000" w:themeColor="text1"/>
                <w:szCs w:val="20"/>
                <w:lang w:val="en-US"/>
              </w:rPr>
              <w:t>43</w:t>
            </w:r>
            <w:r w:rsidR="00157F57" w:rsidRPr="00A42B05">
              <w:rPr>
                <w:rFonts w:cs="Calibri"/>
                <w:color w:val="000000" w:themeColor="text1"/>
                <w:szCs w:val="20"/>
                <w:lang w:val="en-US"/>
              </w:rPr>
              <w:t>,</w:t>
            </w:r>
            <w:r w:rsidRPr="00A42B05">
              <w:rPr>
                <w:rFonts w:cs="Calibri"/>
                <w:color w:val="000000" w:themeColor="text1"/>
                <w:szCs w:val="20"/>
                <w:lang w:val="en-US"/>
              </w:rPr>
              <w:t>193</w:t>
            </w:r>
          </w:p>
        </w:tc>
        <w:tc>
          <w:tcPr>
            <w:tcW w:w="1520" w:type="dxa"/>
            <w:noWrap/>
            <w:hideMark/>
          </w:tcPr>
          <w:p w14:paraId="77CB266A" w14:textId="55D182FE" w:rsidR="0071728C" w:rsidRPr="00A42B05" w:rsidRDefault="003D5AF8" w:rsidP="0071728C">
            <w:pPr>
              <w:spacing w:before="0" w:after="0" w:line="276" w:lineRule="auto"/>
              <w:jc w:val="left"/>
              <w:rPr>
                <w:rFonts w:cs="Calibri"/>
                <w:color w:val="000000" w:themeColor="text1"/>
                <w:szCs w:val="20"/>
                <w:lang w:val="en-US"/>
              </w:rPr>
            </w:pPr>
            <w:r w:rsidRPr="00A42B05">
              <w:rPr>
                <w:rFonts w:cs="Calibri"/>
                <w:color w:val="000000" w:themeColor="text1"/>
                <w:szCs w:val="20"/>
                <w:lang w:val="en-US"/>
              </w:rPr>
              <w:t>(</w:t>
            </w:r>
            <w:r w:rsidR="0071728C" w:rsidRPr="00A42B05">
              <w:rPr>
                <w:rFonts w:cs="Calibri"/>
                <w:color w:val="000000" w:themeColor="text1"/>
                <w:szCs w:val="20"/>
                <w:lang w:val="en-US"/>
              </w:rPr>
              <w:t>320</w:t>
            </w:r>
            <w:r w:rsidR="00157F57" w:rsidRPr="00A42B05">
              <w:rPr>
                <w:rFonts w:cs="Calibri"/>
                <w:color w:val="000000" w:themeColor="text1"/>
                <w:szCs w:val="20"/>
                <w:lang w:val="en-US"/>
              </w:rPr>
              <w:t>,</w:t>
            </w:r>
            <w:r w:rsidR="0071728C" w:rsidRPr="00A42B05">
              <w:rPr>
                <w:rFonts w:cs="Calibri"/>
                <w:color w:val="000000" w:themeColor="text1"/>
                <w:szCs w:val="20"/>
                <w:lang w:val="en-US"/>
              </w:rPr>
              <w:t>842</w:t>
            </w:r>
            <w:r w:rsidRPr="00A42B05">
              <w:rPr>
                <w:rFonts w:cs="Calibri"/>
                <w:color w:val="000000" w:themeColor="text1"/>
                <w:szCs w:val="20"/>
                <w:lang w:val="en-US"/>
              </w:rPr>
              <w:t>)</w:t>
            </w:r>
          </w:p>
        </w:tc>
      </w:tr>
      <w:tr w:rsidR="0071728C" w:rsidRPr="00AA4ACE" w14:paraId="0C43E7FB" w14:textId="77777777" w:rsidTr="00AA4ACE">
        <w:trPr>
          <w:trHeight w:val="330"/>
        </w:trPr>
        <w:tc>
          <w:tcPr>
            <w:tcW w:w="3245" w:type="dxa"/>
            <w:noWrap/>
            <w:hideMark/>
          </w:tcPr>
          <w:p w14:paraId="1F9360F5" w14:textId="77777777" w:rsidR="0071728C" w:rsidRPr="00A42B05" w:rsidRDefault="0071728C" w:rsidP="0071728C">
            <w:pPr>
              <w:spacing w:before="0" w:after="0" w:line="276" w:lineRule="auto"/>
              <w:jc w:val="left"/>
              <w:rPr>
                <w:rFonts w:cs="Calibri"/>
                <w:color w:val="000000" w:themeColor="text1"/>
                <w:szCs w:val="20"/>
                <w:lang w:val="en-US"/>
              </w:rPr>
            </w:pPr>
            <w:r w:rsidRPr="00A42B05">
              <w:rPr>
                <w:rFonts w:cs="Calibri"/>
                <w:color w:val="000000" w:themeColor="text1"/>
                <w:szCs w:val="20"/>
                <w:lang w:val="en-US"/>
              </w:rPr>
              <w:t>Earnout revaluation</w:t>
            </w:r>
          </w:p>
        </w:tc>
        <w:tc>
          <w:tcPr>
            <w:tcW w:w="1520" w:type="dxa"/>
            <w:noWrap/>
            <w:hideMark/>
          </w:tcPr>
          <w:p w14:paraId="73FB4ADA" w14:textId="77777777" w:rsidR="0071728C" w:rsidRPr="00A42B05" w:rsidRDefault="0071728C" w:rsidP="0071728C">
            <w:pPr>
              <w:spacing w:before="0" w:after="0" w:line="276" w:lineRule="auto"/>
              <w:jc w:val="left"/>
              <w:rPr>
                <w:rFonts w:cs="Calibri"/>
                <w:color w:val="000000" w:themeColor="text1"/>
                <w:szCs w:val="20"/>
                <w:lang w:val="en-US"/>
              </w:rPr>
            </w:pPr>
            <w:r w:rsidRPr="00A42B05">
              <w:rPr>
                <w:rFonts w:cs="Calibri"/>
                <w:color w:val="000000" w:themeColor="text1"/>
                <w:szCs w:val="20"/>
                <w:lang w:val="en-US"/>
              </w:rPr>
              <w:t>0</w:t>
            </w:r>
          </w:p>
        </w:tc>
        <w:tc>
          <w:tcPr>
            <w:tcW w:w="1520" w:type="dxa"/>
            <w:noWrap/>
            <w:hideMark/>
          </w:tcPr>
          <w:p w14:paraId="0A7381B6" w14:textId="1A578098" w:rsidR="0071728C" w:rsidRPr="00A42B05" w:rsidRDefault="0071728C" w:rsidP="0071728C">
            <w:pPr>
              <w:spacing w:before="0" w:after="0" w:line="276" w:lineRule="auto"/>
              <w:jc w:val="left"/>
              <w:rPr>
                <w:rFonts w:cs="Calibri"/>
                <w:color w:val="000000" w:themeColor="text1"/>
                <w:szCs w:val="20"/>
                <w:lang w:val="en-US"/>
              </w:rPr>
            </w:pPr>
            <w:r w:rsidRPr="00A42B05">
              <w:rPr>
                <w:rFonts w:cs="Calibri"/>
                <w:color w:val="000000" w:themeColor="text1"/>
                <w:szCs w:val="20"/>
                <w:lang w:val="en-US"/>
              </w:rPr>
              <w:t>17</w:t>
            </w:r>
            <w:r w:rsidR="00157F57" w:rsidRPr="00A42B05">
              <w:rPr>
                <w:rFonts w:cs="Calibri"/>
                <w:color w:val="000000" w:themeColor="text1"/>
                <w:szCs w:val="20"/>
                <w:lang w:val="en-US"/>
              </w:rPr>
              <w:t>,</w:t>
            </w:r>
            <w:r w:rsidRPr="00A42B05">
              <w:rPr>
                <w:rFonts w:cs="Calibri"/>
                <w:color w:val="000000" w:themeColor="text1"/>
                <w:szCs w:val="20"/>
                <w:lang w:val="en-US"/>
              </w:rPr>
              <w:t>807</w:t>
            </w:r>
          </w:p>
        </w:tc>
      </w:tr>
      <w:tr w:rsidR="0071728C" w:rsidRPr="00AA4ACE" w14:paraId="4FD0D666" w14:textId="77777777" w:rsidTr="00AA4ACE">
        <w:trPr>
          <w:trHeight w:val="315"/>
        </w:trPr>
        <w:tc>
          <w:tcPr>
            <w:tcW w:w="3245" w:type="dxa"/>
            <w:noWrap/>
            <w:hideMark/>
          </w:tcPr>
          <w:p w14:paraId="242738E4" w14:textId="04045B1F" w:rsidR="0071728C" w:rsidRPr="00A42B05" w:rsidRDefault="0071728C" w:rsidP="0071728C">
            <w:pPr>
              <w:spacing w:before="0" w:after="0" w:line="276" w:lineRule="auto"/>
              <w:jc w:val="left"/>
              <w:rPr>
                <w:rFonts w:cs="Calibri"/>
                <w:color w:val="000000" w:themeColor="text1"/>
                <w:szCs w:val="20"/>
                <w:lang w:val="en-US"/>
              </w:rPr>
            </w:pPr>
            <w:r w:rsidRPr="00A42B05">
              <w:rPr>
                <w:rFonts w:cs="Calibri"/>
                <w:color w:val="000000" w:themeColor="text1"/>
                <w:szCs w:val="20"/>
                <w:lang w:val="en-US"/>
              </w:rPr>
              <w:t xml:space="preserve">SB </w:t>
            </w:r>
            <w:r w:rsidR="00A42B05" w:rsidRPr="00A42B05">
              <w:rPr>
                <w:rFonts w:cs="Calibri"/>
                <w:color w:val="000000" w:themeColor="text1"/>
                <w:szCs w:val="20"/>
                <w:lang w:val="en-US"/>
              </w:rPr>
              <w:t>commodity</w:t>
            </w:r>
            <w:r w:rsidRPr="00A42B05">
              <w:rPr>
                <w:rFonts w:cs="Calibri"/>
                <w:color w:val="000000" w:themeColor="text1"/>
                <w:szCs w:val="20"/>
                <w:lang w:val="en-US"/>
              </w:rPr>
              <w:t xml:space="preserve"> hedging - </w:t>
            </w:r>
            <w:r w:rsidR="00A42B05">
              <w:rPr>
                <w:rFonts w:cs="Calibri"/>
                <w:color w:val="000000" w:themeColor="text1"/>
                <w:szCs w:val="20"/>
                <w:lang w:val="en-US"/>
              </w:rPr>
              <w:t>re</w:t>
            </w:r>
            <w:r w:rsidR="00A42B05" w:rsidRPr="00A42B05">
              <w:rPr>
                <w:rFonts w:cs="Calibri"/>
                <w:color w:val="000000" w:themeColor="text1"/>
                <w:szCs w:val="20"/>
                <w:lang w:val="en-US"/>
              </w:rPr>
              <w:t>classification</w:t>
            </w:r>
          </w:p>
        </w:tc>
        <w:tc>
          <w:tcPr>
            <w:tcW w:w="1520" w:type="dxa"/>
            <w:noWrap/>
            <w:hideMark/>
          </w:tcPr>
          <w:p w14:paraId="0FBE38DB" w14:textId="0596569B" w:rsidR="0071728C" w:rsidRPr="00A42B05" w:rsidRDefault="003D5AF8" w:rsidP="0071728C">
            <w:pPr>
              <w:spacing w:before="0" w:after="0" w:line="276" w:lineRule="auto"/>
              <w:jc w:val="left"/>
              <w:rPr>
                <w:rFonts w:cs="Calibri"/>
                <w:color w:val="000000" w:themeColor="text1"/>
                <w:szCs w:val="20"/>
                <w:lang w:val="en-US"/>
              </w:rPr>
            </w:pPr>
            <w:r w:rsidRPr="00A42B05">
              <w:rPr>
                <w:rFonts w:cs="Calibri"/>
                <w:color w:val="000000" w:themeColor="text1"/>
                <w:szCs w:val="20"/>
                <w:lang w:val="en-US"/>
              </w:rPr>
              <w:t>(</w:t>
            </w:r>
            <w:r w:rsidR="0071728C" w:rsidRPr="00A42B05">
              <w:rPr>
                <w:rFonts w:cs="Calibri"/>
                <w:color w:val="000000" w:themeColor="text1"/>
                <w:szCs w:val="20"/>
                <w:lang w:val="en-US"/>
              </w:rPr>
              <w:t>43</w:t>
            </w:r>
            <w:r w:rsidR="00157F57" w:rsidRPr="00A42B05">
              <w:rPr>
                <w:rFonts w:cs="Calibri"/>
                <w:color w:val="000000" w:themeColor="text1"/>
                <w:szCs w:val="20"/>
                <w:lang w:val="en-US"/>
              </w:rPr>
              <w:t>,</w:t>
            </w:r>
            <w:r w:rsidR="0071728C" w:rsidRPr="00A42B05">
              <w:rPr>
                <w:rFonts w:cs="Calibri"/>
                <w:color w:val="000000" w:themeColor="text1"/>
                <w:szCs w:val="20"/>
                <w:lang w:val="en-US"/>
              </w:rPr>
              <w:t>193</w:t>
            </w:r>
            <w:r w:rsidRPr="00A42B05">
              <w:rPr>
                <w:rFonts w:cs="Calibri"/>
                <w:color w:val="000000" w:themeColor="text1"/>
                <w:szCs w:val="20"/>
                <w:lang w:val="en-US"/>
              </w:rPr>
              <w:t>)</w:t>
            </w:r>
          </w:p>
        </w:tc>
        <w:tc>
          <w:tcPr>
            <w:tcW w:w="1520" w:type="dxa"/>
            <w:noWrap/>
            <w:hideMark/>
          </w:tcPr>
          <w:p w14:paraId="0F97DB9D" w14:textId="77777777" w:rsidR="0071728C" w:rsidRPr="00A42B05" w:rsidRDefault="0071728C" w:rsidP="0071728C">
            <w:pPr>
              <w:spacing w:before="0" w:after="0" w:line="276" w:lineRule="auto"/>
              <w:jc w:val="left"/>
              <w:rPr>
                <w:rFonts w:cs="Calibri"/>
                <w:color w:val="000000" w:themeColor="text1"/>
                <w:szCs w:val="20"/>
                <w:lang w:val="en-US"/>
              </w:rPr>
            </w:pPr>
            <w:r w:rsidRPr="00A42B05">
              <w:rPr>
                <w:rFonts w:cs="Calibri"/>
                <w:color w:val="000000" w:themeColor="text1"/>
                <w:szCs w:val="20"/>
                <w:lang w:val="en-US"/>
              </w:rPr>
              <w:t>0</w:t>
            </w:r>
          </w:p>
        </w:tc>
      </w:tr>
      <w:tr w:rsidR="0071728C" w:rsidRPr="00AA4ACE" w14:paraId="78CD3B1C" w14:textId="77777777" w:rsidTr="00AA4ACE">
        <w:trPr>
          <w:trHeight w:val="315"/>
        </w:trPr>
        <w:tc>
          <w:tcPr>
            <w:tcW w:w="3245" w:type="dxa"/>
            <w:noWrap/>
            <w:hideMark/>
          </w:tcPr>
          <w:p w14:paraId="19BDE205" w14:textId="51942E03" w:rsidR="0071728C" w:rsidRPr="00A42B05" w:rsidRDefault="0071728C" w:rsidP="0071728C">
            <w:pPr>
              <w:spacing w:before="0" w:after="0" w:line="276" w:lineRule="auto"/>
              <w:jc w:val="left"/>
              <w:rPr>
                <w:rFonts w:cs="Calibri"/>
                <w:color w:val="000000" w:themeColor="text1"/>
                <w:szCs w:val="20"/>
                <w:lang w:val="en-US"/>
              </w:rPr>
            </w:pPr>
            <w:r w:rsidRPr="00A42B05">
              <w:rPr>
                <w:rFonts w:cs="Calibri"/>
                <w:color w:val="000000" w:themeColor="text1"/>
                <w:szCs w:val="20"/>
                <w:lang w:val="en-US"/>
              </w:rPr>
              <w:t>Bank fee - acquisition loan S</w:t>
            </w:r>
            <w:r w:rsidR="00157F57" w:rsidRPr="00A42B05">
              <w:rPr>
                <w:rFonts w:cs="Calibri"/>
                <w:color w:val="000000" w:themeColor="text1"/>
                <w:szCs w:val="20"/>
                <w:lang w:val="en-US"/>
              </w:rPr>
              <w:t>&amp;</w:t>
            </w:r>
            <w:r w:rsidRPr="00A42B05">
              <w:rPr>
                <w:rFonts w:cs="Calibri"/>
                <w:color w:val="000000" w:themeColor="text1"/>
                <w:szCs w:val="20"/>
                <w:lang w:val="en-US"/>
              </w:rPr>
              <w:t>B</w:t>
            </w:r>
          </w:p>
        </w:tc>
        <w:tc>
          <w:tcPr>
            <w:tcW w:w="1520" w:type="dxa"/>
            <w:noWrap/>
            <w:hideMark/>
          </w:tcPr>
          <w:p w14:paraId="2494A0ED" w14:textId="54B1896D" w:rsidR="0071728C" w:rsidRPr="00A42B05" w:rsidRDefault="0071728C" w:rsidP="0071728C">
            <w:pPr>
              <w:spacing w:before="0" w:after="0" w:line="276" w:lineRule="auto"/>
              <w:jc w:val="left"/>
              <w:rPr>
                <w:rFonts w:cs="Calibri"/>
                <w:color w:val="000000" w:themeColor="text1"/>
                <w:szCs w:val="20"/>
                <w:lang w:val="en-US"/>
              </w:rPr>
            </w:pPr>
            <w:r w:rsidRPr="00A42B05">
              <w:rPr>
                <w:rFonts w:cs="Calibri"/>
                <w:color w:val="000000" w:themeColor="text1"/>
                <w:szCs w:val="20"/>
                <w:lang w:val="en-US"/>
              </w:rPr>
              <w:t>18</w:t>
            </w:r>
            <w:r w:rsidR="00157F57" w:rsidRPr="00A42B05">
              <w:rPr>
                <w:rFonts w:cs="Calibri"/>
                <w:color w:val="000000" w:themeColor="text1"/>
                <w:szCs w:val="20"/>
                <w:lang w:val="en-US"/>
              </w:rPr>
              <w:t>,</w:t>
            </w:r>
            <w:r w:rsidRPr="00A42B05">
              <w:rPr>
                <w:rFonts w:cs="Calibri"/>
                <w:color w:val="000000" w:themeColor="text1"/>
                <w:szCs w:val="20"/>
                <w:lang w:val="en-US"/>
              </w:rPr>
              <w:t>136</w:t>
            </w:r>
          </w:p>
        </w:tc>
        <w:tc>
          <w:tcPr>
            <w:tcW w:w="1520" w:type="dxa"/>
            <w:noWrap/>
            <w:hideMark/>
          </w:tcPr>
          <w:p w14:paraId="74EE6608" w14:textId="77777777" w:rsidR="0071728C" w:rsidRPr="00A42B05" w:rsidRDefault="0071728C" w:rsidP="0071728C">
            <w:pPr>
              <w:spacing w:before="0" w:after="0" w:line="276" w:lineRule="auto"/>
              <w:jc w:val="left"/>
              <w:rPr>
                <w:rFonts w:cs="Calibri"/>
                <w:color w:val="000000" w:themeColor="text1"/>
                <w:szCs w:val="20"/>
                <w:lang w:val="en-US"/>
              </w:rPr>
            </w:pPr>
            <w:r w:rsidRPr="00A42B05">
              <w:rPr>
                <w:rFonts w:cs="Calibri"/>
                <w:color w:val="000000" w:themeColor="text1"/>
                <w:szCs w:val="20"/>
                <w:lang w:val="en-US"/>
              </w:rPr>
              <w:t>0</w:t>
            </w:r>
          </w:p>
        </w:tc>
      </w:tr>
      <w:tr w:rsidR="0071728C" w:rsidRPr="00AA4ACE" w14:paraId="05EB0701" w14:textId="77777777" w:rsidTr="00AA4ACE">
        <w:trPr>
          <w:trHeight w:val="315"/>
        </w:trPr>
        <w:tc>
          <w:tcPr>
            <w:tcW w:w="3245" w:type="dxa"/>
            <w:noWrap/>
            <w:hideMark/>
          </w:tcPr>
          <w:p w14:paraId="7461AB43" w14:textId="77777777" w:rsidR="0071728C" w:rsidRPr="00A42B05" w:rsidRDefault="0071728C" w:rsidP="0071728C">
            <w:pPr>
              <w:spacing w:before="0" w:after="0" w:line="276" w:lineRule="auto"/>
              <w:jc w:val="left"/>
              <w:rPr>
                <w:rFonts w:cs="Calibri"/>
                <w:color w:val="000000" w:themeColor="text1"/>
                <w:szCs w:val="20"/>
                <w:lang w:val="en-US"/>
              </w:rPr>
            </w:pPr>
            <w:r w:rsidRPr="00A42B05">
              <w:rPr>
                <w:rFonts w:cs="Calibri"/>
                <w:color w:val="000000" w:themeColor="text1"/>
                <w:szCs w:val="20"/>
                <w:lang w:val="en-US"/>
              </w:rPr>
              <w:t>Bond issue related costs</w:t>
            </w:r>
          </w:p>
        </w:tc>
        <w:tc>
          <w:tcPr>
            <w:tcW w:w="1520" w:type="dxa"/>
            <w:noWrap/>
            <w:hideMark/>
          </w:tcPr>
          <w:p w14:paraId="61F4208D" w14:textId="1457A60D" w:rsidR="0071728C" w:rsidRPr="00A42B05" w:rsidRDefault="0071728C" w:rsidP="0071728C">
            <w:pPr>
              <w:spacing w:before="0" w:after="0" w:line="276" w:lineRule="auto"/>
              <w:jc w:val="left"/>
              <w:rPr>
                <w:rFonts w:cs="Calibri"/>
                <w:color w:val="000000" w:themeColor="text1"/>
                <w:szCs w:val="20"/>
                <w:lang w:val="en-US"/>
              </w:rPr>
            </w:pPr>
            <w:r w:rsidRPr="00A42B05">
              <w:rPr>
                <w:rFonts w:cs="Calibri"/>
                <w:color w:val="000000" w:themeColor="text1"/>
                <w:szCs w:val="20"/>
                <w:lang w:val="en-US"/>
              </w:rPr>
              <w:t>7</w:t>
            </w:r>
            <w:r w:rsidR="00157F57" w:rsidRPr="00A42B05">
              <w:rPr>
                <w:rFonts w:cs="Calibri"/>
                <w:color w:val="000000" w:themeColor="text1"/>
                <w:szCs w:val="20"/>
                <w:lang w:val="en-US"/>
              </w:rPr>
              <w:t>,</w:t>
            </w:r>
            <w:r w:rsidRPr="00A42B05">
              <w:rPr>
                <w:rFonts w:cs="Calibri"/>
                <w:color w:val="000000" w:themeColor="text1"/>
                <w:szCs w:val="20"/>
                <w:lang w:val="en-US"/>
              </w:rPr>
              <w:t>391</w:t>
            </w:r>
          </w:p>
        </w:tc>
        <w:tc>
          <w:tcPr>
            <w:tcW w:w="1520" w:type="dxa"/>
            <w:noWrap/>
            <w:hideMark/>
          </w:tcPr>
          <w:p w14:paraId="6D919AC2" w14:textId="233967E9" w:rsidR="0071728C" w:rsidRPr="00A42B05" w:rsidRDefault="0071728C" w:rsidP="0071728C">
            <w:pPr>
              <w:spacing w:before="0" w:after="0" w:line="276" w:lineRule="auto"/>
              <w:jc w:val="left"/>
              <w:rPr>
                <w:rFonts w:cs="Calibri"/>
                <w:color w:val="000000" w:themeColor="text1"/>
                <w:szCs w:val="20"/>
                <w:lang w:val="en-US"/>
              </w:rPr>
            </w:pPr>
            <w:r w:rsidRPr="00A42B05">
              <w:rPr>
                <w:rFonts w:cs="Calibri"/>
                <w:color w:val="000000" w:themeColor="text1"/>
                <w:szCs w:val="20"/>
                <w:lang w:val="en-US"/>
              </w:rPr>
              <w:t>6</w:t>
            </w:r>
            <w:r w:rsidR="00157F57" w:rsidRPr="00A42B05">
              <w:rPr>
                <w:rFonts w:cs="Calibri"/>
                <w:color w:val="000000" w:themeColor="text1"/>
                <w:szCs w:val="20"/>
                <w:lang w:val="en-US"/>
              </w:rPr>
              <w:t>,</w:t>
            </w:r>
            <w:r w:rsidRPr="00A42B05">
              <w:rPr>
                <w:rFonts w:cs="Calibri"/>
                <w:color w:val="000000" w:themeColor="text1"/>
                <w:szCs w:val="20"/>
                <w:lang w:val="en-US"/>
              </w:rPr>
              <w:t>317</w:t>
            </w:r>
          </w:p>
        </w:tc>
      </w:tr>
      <w:tr w:rsidR="0071728C" w:rsidRPr="00AA4ACE" w14:paraId="14E7D79A" w14:textId="77777777" w:rsidTr="00AA4ACE">
        <w:trPr>
          <w:trHeight w:val="315"/>
        </w:trPr>
        <w:tc>
          <w:tcPr>
            <w:tcW w:w="3245" w:type="dxa"/>
            <w:noWrap/>
            <w:hideMark/>
          </w:tcPr>
          <w:p w14:paraId="24787507" w14:textId="77777777" w:rsidR="0071728C" w:rsidRPr="00A42B05" w:rsidRDefault="0071728C" w:rsidP="0071728C">
            <w:pPr>
              <w:spacing w:before="0" w:after="0" w:line="276" w:lineRule="auto"/>
              <w:jc w:val="left"/>
              <w:rPr>
                <w:rFonts w:cs="Calibri"/>
                <w:b/>
                <w:bCs/>
                <w:i/>
                <w:iCs/>
                <w:color w:val="000000" w:themeColor="text1"/>
                <w:szCs w:val="20"/>
                <w:lang w:val="en-US"/>
              </w:rPr>
            </w:pPr>
            <w:r w:rsidRPr="00A42B05">
              <w:rPr>
                <w:rFonts w:cs="Calibri"/>
                <w:b/>
                <w:bCs/>
                <w:i/>
                <w:iCs/>
                <w:color w:val="000000" w:themeColor="text1"/>
                <w:szCs w:val="20"/>
                <w:lang w:val="en-US"/>
              </w:rPr>
              <w:t>Subtotal of adjusted items</w:t>
            </w:r>
          </w:p>
        </w:tc>
        <w:tc>
          <w:tcPr>
            <w:tcW w:w="1520" w:type="dxa"/>
            <w:noWrap/>
            <w:hideMark/>
          </w:tcPr>
          <w:p w14:paraId="3C2E41D8" w14:textId="7116AE9A" w:rsidR="0071728C" w:rsidRPr="00A42B05" w:rsidRDefault="0071728C" w:rsidP="0071728C">
            <w:pPr>
              <w:spacing w:before="0" w:after="0" w:line="276" w:lineRule="auto"/>
              <w:jc w:val="left"/>
              <w:rPr>
                <w:rFonts w:cs="Calibri"/>
                <w:b/>
                <w:bCs/>
                <w:i/>
                <w:iCs/>
                <w:color w:val="000000" w:themeColor="text1"/>
                <w:szCs w:val="20"/>
                <w:lang w:val="en-US"/>
              </w:rPr>
            </w:pPr>
            <w:r w:rsidRPr="00A42B05">
              <w:rPr>
                <w:rFonts w:cs="Calibri"/>
                <w:b/>
                <w:bCs/>
                <w:i/>
                <w:iCs/>
                <w:color w:val="000000" w:themeColor="text1"/>
                <w:szCs w:val="20"/>
                <w:lang w:val="en-US"/>
              </w:rPr>
              <w:t>758</w:t>
            </w:r>
            <w:r w:rsidR="00157F57" w:rsidRPr="00A42B05">
              <w:rPr>
                <w:rFonts w:cs="Calibri"/>
                <w:b/>
                <w:bCs/>
                <w:i/>
                <w:iCs/>
                <w:color w:val="000000" w:themeColor="text1"/>
                <w:szCs w:val="20"/>
                <w:lang w:val="en-US"/>
              </w:rPr>
              <w:t>,</w:t>
            </w:r>
            <w:r w:rsidRPr="00A42B05">
              <w:rPr>
                <w:rFonts w:cs="Calibri"/>
                <w:b/>
                <w:bCs/>
                <w:i/>
                <w:iCs/>
                <w:color w:val="000000" w:themeColor="text1"/>
                <w:szCs w:val="20"/>
                <w:lang w:val="en-US"/>
              </w:rPr>
              <w:t>945</w:t>
            </w:r>
          </w:p>
        </w:tc>
        <w:tc>
          <w:tcPr>
            <w:tcW w:w="1520" w:type="dxa"/>
            <w:noWrap/>
            <w:hideMark/>
          </w:tcPr>
          <w:p w14:paraId="55A0CD11" w14:textId="2BF4B65E" w:rsidR="0071728C" w:rsidRPr="00A42B05" w:rsidRDefault="003D5AF8" w:rsidP="0071728C">
            <w:pPr>
              <w:spacing w:before="0" w:after="0" w:line="276" w:lineRule="auto"/>
              <w:jc w:val="left"/>
              <w:rPr>
                <w:rFonts w:cs="Calibri"/>
                <w:b/>
                <w:bCs/>
                <w:i/>
                <w:iCs/>
                <w:color w:val="000000" w:themeColor="text1"/>
                <w:szCs w:val="20"/>
                <w:lang w:val="en-US"/>
              </w:rPr>
            </w:pPr>
            <w:r w:rsidRPr="00A42B05">
              <w:rPr>
                <w:rFonts w:cs="Calibri"/>
                <w:b/>
                <w:bCs/>
                <w:i/>
                <w:iCs/>
                <w:color w:val="000000" w:themeColor="text1"/>
                <w:szCs w:val="20"/>
                <w:lang w:val="en-US"/>
              </w:rPr>
              <w:t>(</w:t>
            </w:r>
            <w:r w:rsidR="0071728C" w:rsidRPr="00A42B05">
              <w:rPr>
                <w:rFonts w:cs="Calibri"/>
                <w:b/>
                <w:bCs/>
                <w:i/>
                <w:iCs/>
                <w:color w:val="000000" w:themeColor="text1"/>
                <w:szCs w:val="20"/>
                <w:lang w:val="en-US"/>
              </w:rPr>
              <w:t>67</w:t>
            </w:r>
            <w:r w:rsidR="00157F57" w:rsidRPr="00A42B05">
              <w:rPr>
                <w:rFonts w:cs="Calibri"/>
                <w:b/>
                <w:bCs/>
                <w:i/>
                <w:iCs/>
                <w:color w:val="000000" w:themeColor="text1"/>
                <w:szCs w:val="20"/>
                <w:lang w:val="en-US"/>
              </w:rPr>
              <w:t>,</w:t>
            </w:r>
            <w:r w:rsidR="0071728C" w:rsidRPr="00A42B05">
              <w:rPr>
                <w:rFonts w:cs="Calibri"/>
                <w:b/>
                <w:bCs/>
                <w:i/>
                <w:iCs/>
                <w:color w:val="000000" w:themeColor="text1"/>
                <w:szCs w:val="20"/>
                <w:lang w:val="en-US"/>
              </w:rPr>
              <w:t>975</w:t>
            </w:r>
            <w:r w:rsidRPr="00A42B05">
              <w:rPr>
                <w:rFonts w:cs="Calibri"/>
                <w:b/>
                <w:bCs/>
                <w:i/>
                <w:iCs/>
                <w:color w:val="000000" w:themeColor="text1"/>
                <w:szCs w:val="20"/>
                <w:lang w:val="en-US"/>
              </w:rPr>
              <w:t>)</w:t>
            </w:r>
          </w:p>
        </w:tc>
      </w:tr>
      <w:tr w:rsidR="0071728C" w:rsidRPr="00AA4ACE" w14:paraId="2EA8B36F" w14:textId="77777777" w:rsidTr="00AA4ACE">
        <w:trPr>
          <w:trHeight w:val="315"/>
        </w:trPr>
        <w:tc>
          <w:tcPr>
            <w:tcW w:w="3245" w:type="dxa"/>
            <w:noWrap/>
            <w:hideMark/>
          </w:tcPr>
          <w:p w14:paraId="1D46DAEE" w14:textId="77777777" w:rsidR="0071728C" w:rsidRPr="00A42B05" w:rsidRDefault="0071728C" w:rsidP="0071728C">
            <w:pPr>
              <w:spacing w:before="0" w:after="0" w:line="276" w:lineRule="auto"/>
              <w:jc w:val="left"/>
              <w:rPr>
                <w:rFonts w:cs="Calibri"/>
                <w:color w:val="000000" w:themeColor="text1"/>
                <w:szCs w:val="20"/>
                <w:lang w:val="en-US"/>
              </w:rPr>
            </w:pPr>
            <w:r w:rsidRPr="00A42B05">
              <w:rPr>
                <w:rFonts w:cs="Calibri"/>
                <w:color w:val="000000" w:themeColor="text1"/>
                <w:szCs w:val="20"/>
                <w:lang w:val="en-US"/>
              </w:rPr>
              <w:t>Effective tax rate</w:t>
            </w:r>
          </w:p>
        </w:tc>
        <w:tc>
          <w:tcPr>
            <w:tcW w:w="1520" w:type="dxa"/>
            <w:noWrap/>
            <w:hideMark/>
          </w:tcPr>
          <w:p w14:paraId="4249A7D7" w14:textId="65FD0DDF" w:rsidR="0071728C" w:rsidRPr="00A42B05" w:rsidRDefault="003D5AF8" w:rsidP="0071728C">
            <w:pPr>
              <w:spacing w:before="0" w:after="0" w:line="276" w:lineRule="auto"/>
              <w:jc w:val="left"/>
              <w:rPr>
                <w:rFonts w:cs="Calibri"/>
                <w:color w:val="000000" w:themeColor="text1"/>
                <w:szCs w:val="20"/>
                <w:lang w:val="en-US"/>
              </w:rPr>
            </w:pPr>
            <w:r w:rsidRPr="00A42B05">
              <w:rPr>
                <w:rFonts w:cs="Calibri"/>
                <w:color w:val="000000" w:themeColor="text1"/>
                <w:szCs w:val="20"/>
                <w:lang w:val="en-US"/>
              </w:rPr>
              <w:t>(</w:t>
            </w:r>
            <w:r w:rsidR="0071728C" w:rsidRPr="00A42B05">
              <w:rPr>
                <w:rFonts w:cs="Calibri"/>
                <w:color w:val="000000" w:themeColor="text1"/>
                <w:szCs w:val="20"/>
                <w:lang w:val="en-US"/>
              </w:rPr>
              <w:t>387</w:t>
            </w:r>
            <w:r w:rsidR="00157F57" w:rsidRPr="00A42B05">
              <w:rPr>
                <w:rFonts w:cs="Calibri"/>
                <w:color w:val="000000" w:themeColor="text1"/>
                <w:szCs w:val="20"/>
                <w:lang w:val="en-US"/>
              </w:rPr>
              <w:t>,</w:t>
            </w:r>
            <w:r w:rsidR="0071728C" w:rsidRPr="00A42B05">
              <w:rPr>
                <w:rFonts w:cs="Calibri"/>
                <w:color w:val="000000" w:themeColor="text1"/>
                <w:szCs w:val="20"/>
                <w:lang w:val="en-US"/>
              </w:rPr>
              <w:t>101</w:t>
            </w:r>
            <w:r w:rsidRPr="00A42B05">
              <w:rPr>
                <w:rFonts w:cs="Calibri"/>
                <w:color w:val="000000" w:themeColor="text1"/>
                <w:szCs w:val="20"/>
                <w:lang w:val="en-US"/>
              </w:rPr>
              <w:t>)</w:t>
            </w:r>
          </w:p>
        </w:tc>
        <w:tc>
          <w:tcPr>
            <w:tcW w:w="1520" w:type="dxa"/>
            <w:noWrap/>
            <w:hideMark/>
          </w:tcPr>
          <w:p w14:paraId="1EB8B29B" w14:textId="75AC5FB7" w:rsidR="0071728C" w:rsidRPr="00A42B05" w:rsidRDefault="003D5AF8" w:rsidP="0071728C">
            <w:pPr>
              <w:spacing w:before="0" w:after="0" w:line="276" w:lineRule="auto"/>
              <w:jc w:val="left"/>
              <w:rPr>
                <w:rFonts w:cs="Calibri"/>
                <w:color w:val="000000" w:themeColor="text1"/>
                <w:szCs w:val="20"/>
                <w:lang w:val="en-US"/>
              </w:rPr>
            </w:pPr>
            <w:r w:rsidRPr="00A42B05">
              <w:rPr>
                <w:rFonts w:cs="Calibri"/>
                <w:color w:val="000000" w:themeColor="text1"/>
                <w:szCs w:val="20"/>
                <w:lang w:val="en-US"/>
              </w:rPr>
              <w:t>(</w:t>
            </w:r>
            <w:r w:rsidR="0071728C" w:rsidRPr="00A42B05">
              <w:rPr>
                <w:rFonts w:cs="Calibri"/>
                <w:color w:val="000000" w:themeColor="text1"/>
                <w:szCs w:val="20"/>
                <w:lang w:val="en-US"/>
              </w:rPr>
              <w:t>341</w:t>
            </w:r>
            <w:r w:rsidR="00157F57" w:rsidRPr="00A42B05">
              <w:rPr>
                <w:rFonts w:cs="Calibri"/>
                <w:color w:val="000000" w:themeColor="text1"/>
                <w:szCs w:val="20"/>
                <w:lang w:val="en-US"/>
              </w:rPr>
              <w:t>,</w:t>
            </w:r>
            <w:r w:rsidR="0071728C" w:rsidRPr="00A42B05">
              <w:rPr>
                <w:rFonts w:cs="Calibri"/>
                <w:color w:val="000000" w:themeColor="text1"/>
                <w:szCs w:val="20"/>
                <w:lang w:val="en-US"/>
              </w:rPr>
              <w:t>270</w:t>
            </w:r>
            <w:r w:rsidRPr="00A42B05">
              <w:rPr>
                <w:rFonts w:cs="Calibri"/>
                <w:color w:val="000000" w:themeColor="text1"/>
                <w:szCs w:val="20"/>
                <w:lang w:val="en-US"/>
              </w:rPr>
              <w:t>)</w:t>
            </w:r>
          </w:p>
        </w:tc>
      </w:tr>
      <w:tr w:rsidR="0071728C" w:rsidRPr="00AA4ACE" w14:paraId="508087F4" w14:textId="77777777" w:rsidTr="00AA4ACE">
        <w:trPr>
          <w:trHeight w:val="315"/>
        </w:trPr>
        <w:tc>
          <w:tcPr>
            <w:tcW w:w="3245" w:type="dxa"/>
            <w:noWrap/>
            <w:hideMark/>
          </w:tcPr>
          <w:p w14:paraId="18F87BF9" w14:textId="77777777" w:rsidR="0071728C" w:rsidRPr="00A42B05" w:rsidRDefault="0071728C" w:rsidP="0071728C">
            <w:pPr>
              <w:spacing w:before="0" w:after="0" w:line="276" w:lineRule="auto"/>
              <w:jc w:val="left"/>
              <w:rPr>
                <w:rFonts w:cs="Calibri"/>
                <w:b/>
                <w:bCs/>
                <w:color w:val="000000" w:themeColor="text1"/>
                <w:szCs w:val="20"/>
                <w:lang w:val="en-US"/>
              </w:rPr>
            </w:pPr>
            <w:r w:rsidRPr="00A42B05">
              <w:rPr>
                <w:rFonts w:cs="Calibri"/>
                <w:b/>
                <w:bCs/>
                <w:color w:val="000000" w:themeColor="text1"/>
                <w:szCs w:val="20"/>
                <w:lang w:val="en-US"/>
              </w:rPr>
              <w:t>Adjusted net profit</w:t>
            </w:r>
          </w:p>
        </w:tc>
        <w:tc>
          <w:tcPr>
            <w:tcW w:w="1520" w:type="dxa"/>
            <w:noWrap/>
            <w:hideMark/>
          </w:tcPr>
          <w:p w14:paraId="0FB8C059" w14:textId="670E092B" w:rsidR="0071728C" w:rsidRPr="00A42B05" w:rsidRDefault="0071728C" w:rsidP="0071728C">
            <w:pPr>
              <w:spacing w:before="0" w:after="0" w:line="276" w:lineRule="auto"/>
              <w:jc w:val="left"/>
              <w:rPr>
                <w:rFonts w:cs="Calibri"/>
                <w:b/>
                <w:bCs/>
                <w:color w:val="000000" w:themeColor="text1"/>
                <w:szCs w:val="20"/>
                <w:lang w:val="en-US"/>
              </w:rPr>
            </w:pPr>
            <w:r w:rsidRPr="00A42B05">
              <w:rPr>
                <w:rFonts w:cs="Calibri"/>
                <w:b/>
                <w:bCs/>
                <w:color w:val="000000" w:themeColor="text1"/>
                <w:szCs w:val="20"/>
                <w:lang w:val="en-US"/>
              </w:rPr>
              <w:t>1</w:t>
            </w:r>
            <w:r w:rsidR="00157F57" w:rsidRPr="00A42B05">
              <w:rPr>
                <w:rFonts w:cs="Calibri"/>
                <w:b/>
                <w:bCs/>
                <w:color w:val="000000" w:themeColor="text1"/>
                <w:szCs w:val="20"/>
                <w:lang w:val="en-US"/>
              </w:rPr>
              <w:t>,</w:t>
            </w:r>
            <w:r w:rsidRPr="00A42B05">
              <w:rPr>
                <w:rFonts w:cs="Calibri"/>
                <w:b/>
                <w:bCs/>
                <w:color w:val="000000" w:themeColor="text1"/>
                <w:szCs w:val="20"/>
                <w:lang w:val="en-US"/>
              </w:rPr>
              <w:t>292</w:t>
            </w:r>
            <w:r w:rsidR="00157F57" w:rsidRPr="00A42B05">
              <w:rPr>
                <w:rFonts w:cs="Calibri"/>
                <w:b/>
                <w:bCs/>
                <w:color w:val="000000" w:themeColor="text1"/>
                <w:szCs w:val="20"/>
                <w:lang w:val="en-US"/>
              </w:rPr>
              <w:t>,</w:t>
            </w:r>
            <w:r w:rsidRPr="00A42B05">
              <w:rPr>
                <w:rFonts w:cs="Calibri"/>
                <w:b/>
                <w:bCs/>
                <w:color w:val="000000" w:themeColor="text1"/>
                <w:szCs w:val="20"/>
                <w:lang w:val="en-US"/>
              </w:rPr>
              <w:t>708</w:t>
            </w:r>
          </w:p>
        </w:tc>
        <w:tc>
          <w:tcPr>
            <w:tcW w:w="1520" w:type="dxa"/>
            <w:noWrap/>
            <w:hideMark/>
          </w:tcPr>
          <w:p w14:paraId="3DB7D559" w14:textId="70E672A4" w:rsidR="0071728C" w:rsidRPr="00A42B05" w:rsidRDefault="0071728C" w:rsidP="0071728C">
            <w:pPr>
              <w:spacing w:before="0" w:after="0" w:line="276" w:lineRule="auto"/>
              <w:jc w:val="left"/>
              <w:rPr>
                <w:rFonts w:cs="Calibri"/>
                <w:b/>
                <w:bCs/>
                <w:color w:val="000000" w:themeColor="text1"/>
                <w:szCs w:val="20"/>
                <w:lang w:val="en-US"/>
              </w:rPr>
            </w:pPr>
            <w:r w:rsidRPr="00A42B05">
              <w:rPr>
                <w:rFonts w:cs="Calibri"/>
                <w:b/>
                <w:bCs/>
                <w:color w:val="000000" w:themeColor="text1"/>
                <w:szCs w:val="20"/>
                <w:lang w:val="en-US"/>
              </w:rPr>
              <w:t>1</w:t>
            </w:r>
            <w:r w:rsidR="00157F57" w:rsidRPr="00A42B05">
              <w:rPr>
                <w:rFonts w:cs="Calibri"/>
                <w:b/>
                <w:bCs/>
                <w:color w:val="000000" w:themeColor="text1"/>
                <w:szCs w:val="20"/>
                <w:lang w:val="en-US"/>
              </w:rPr>
              <w:t>,</w:t>
            </w:r>
            <w:r w:rsidRPr="00A42B05">
              <w:rPr>
                <w:rFonts w:cs="Calibri"/>
                <w:b/>
                <w:bCs/>
                <w:color w:val="000000" w:themeColor="text1"/>
                <w:szCs w:val="20"/>
                <w:lang w:val="en-US"/>
              </w:rPr>
              <w:t>482</w:t>
            </w:r>
            <w:r w:rsidR="00157F57" w:rsidRPr="00A42B05">
              <w:rPr>
                <w:rFonts w:cs="Calibri"/>
                <w:b/>
                <w:bCs/>
                <w:color w:val="000000" w:themeColor="text1"/>
                <w:szCs w:val="20"/>
                <w:lang w:val="en-US"/>
              </w:rPr>
              <w:t>,</w:t>
            </w:r>
            <w:r w:rsidRPr="00A42B05">
              <w:rPr>
                <w:rFonts w:cs="Calibri"/>
                <w:b/>
                <w:bCs/>
                <w:color w:val="000000" w:themeColor="text1"/>
                <w:szCs w:val="20"/>
                <w:lang w:val="en-US"/>
              </w:rPr>
              <w:t>351</w:t>
            </w:r>
          </w:p>
        </w:tc>
      </w:tr>
    </w:tbl>
    <w:p w14:paraId="72B57194" w14:textId="77777777" w:rsidR="005741FD" w:rsidRPr="00012DFF" w:rsidRDefault="005741FD" w:rsidP="00D876DD">
      <w:pPr>
        <w:spacing w:before="0" w:after="0" w:line="276" w:lineRule="auto"/>
        <w:jc w:val="left"/>
        <w:rPr>
          <w:rFonts w:cs="Calibri"/>
          <w:color w:val="000000" w:themeColor="text1"/>
          <w:szCs w:val="20"/>
          <w:lang w:val="en-US"/>
        </w:rPr>
      </w:pPr>
    </w:p>
    <w:sectPr w:rsidR="005741FD" w:rsidRPr="00012DFF" w:rsidSect="00C07127">
      <w:headerReference w:type="default" r:id="rId11"/>
      <w:footerReference w:type="default" r:id="rId12"/>
      <w:headerReference w:type="first" r:id="rId13"/>
      <w:footerReference w:type="first" r:id="rId14"/>
      <w:pgSz w:w="11906" w:h="16838"/>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98013E" w14:textId="77777777" w:rsidR="006E734E" w:rsidRDefault="006E734E" w:rsidP="006547EF">
      <w:pPr>
        <w:spacing w:before="0" w:after="0"/>
      </w:pPr>
      <w:r>
        <w:separator/>
      </w:r>
    </w:p>
  </w:endnote>
  <w:endnote w:type="continuationSeparator" w:id="0">
    <w:p w14:paraId="244C6FBB" w14:textId="77777777" w:rsidR="006E734E" w:rsidRDefault="006E734E" w:rsidP="006547EF">
      <w:pPr>
        <w:spacing w:before="0" w:after="0"/>
      </w:pPr>
      <w:r>
        <w:continuationSeparator/>
      </w:r>
    </w:p>
  </w:endnote>
  <w:endnote w:type="continuationNotice" w:id="1">
    <w:p w14:paraId="489AED08" w14:textId="77777777" w:rsidR="006E734E" w:rsidRDefault="006E734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typ Colt CZ">
    <w:altName w:val="Calibri"/>
    <w:panose1 w:val="00000000000000000000"/>
    <w:charset w:val="00"/>
    <w:family w:val="modern"/>
    <w:notTrueType/>
    <w:pitch w:val="variable"/>
    <w:sig w:usb0="A00002FF" w:usb1="0200E07A"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EE"/>
    <w:family w:val="swiss"/>
    <w:pitch w:val="variable"/>
    <w:sig w:usb0="E4002EFF" w:usb1="C200247B" w:usb2="00000009" w:usb3="00000000" w:csb0="000001FF" w:csb1="00000000"/>
    <w:embedRegular r:id="rId1" w:fontKey="{DF6C4EE0-4401-45AC-9CF4-1EBEDB6FC743}"/>
    <w:embedBold r:id="rId2" w:fontKey="{BC70FCBE-B638-4087-9831-F95E572067D9}"/>
    <w:embedItalic r:id="rId3" w:fontKey="{0C4AD52E-73F9-4EE7-B466-9664BC8ED713}"/>
    <w:embedBoldItalic r:id="rId4" w:fontKey="{942EF0D4-BEB7-4AEE-BBE2-EBABADE7D804}"/>
  </w:font>
  <w:font w:name="Consolas">
    <w:panose1 w:val="020B0609020204030204"/>
    <w:charset w:val="EE"/>
    <w:family w:val="modern"/>
    <w:pitch w:val="fixed"/>
    <w:sig w:usb0="E00006FF" w:usb1="0000FCFF" w:usb2="00000001" w:usb3="00000000" w:csb0="0000019F" w:csb1="00000000"/>
    <w:embedRegular r:id="rId5" w:fontKey="{0A2490CF-206E-4E5B-945A-68586ABDB960}"/>
  </w:font>
  <w:font w:name="Montserrat Light">
    <w:charset w:val="EE"/>
    <w:family w:val="auto"/>
    <w:pitch w:val="variable"/>
    <w:sig w:usb0="2000020F" w:usb1="00000003" w:usb2="00000000" w:usb3="00000000" w:csb0="00000197" w:csb1="00000000"/>
    <w:embedRegular r:id="rId6" w:fontKey="{BFA56DD2-EE8A-4469-BCE3-CF106C3236B9}"/>
  </w:font>
  <w:font w:name="Calibri Light">
    <w:panose1 w:val="020F0302020204030204"/>
    <w:charset w:val="EE"/>
    <w:family w:val="swiss"/>
    <w:pitch w:val="variable"/>
    <w:sig w:usb0="E4002EFF" w:usb1="C200247B" w:usb2="00000009" w:usb3="00000000" w:csb0="000001FF" w:csb1="00000000"/>
    <w:embedRegular r:id="rId7" w:fontKey="{5DA9487B-4450-402E-B269-31D1009C95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1736917"/>
      <w:docPartObj>
        <w:docPartGallery w:val="Page Numbers (Bottom of Page)"/>
        <w:docPartUnique/>
      </w:docPartObj>
    </w:sdtPr>
    <w:sdtContent>
      <w:p w14:paraId="2FDF5730" w14:textId="77777777" w:rsidR="00C07127" w:rsidRDefault="00C07127">
        <w:pPr>
          <w:pStyle w:val="Zpat"/>
          <w:jc w:val="right"/>
        </w:pPr>
      </w:p>
      <w:p w14:paraId="26209D96" w14:textId="77777777" w:rsidR="00365414" w:rsidRDefault="006F5BA9" w:rsidP="00C07127">
        <w:pPr>
          <w:pStyle w:val="Zpat"/>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F95F0" w14:textId="77777777" w:rsidR="00E21409" w:rsidRPr="00C07127" w:rsidRDefault="00E21409" w:rsidP="00E21409">
    <w:pPr>
      <w:spacing w:before="0" w:after="0" w:line="264" w:lineRule="auto"/>
      <w:jc w:val="left"/>
      <w:rPr>
        <w:rFonts w:eastAsiaTheme="minorHAnsi" w:cstheme="minorBidi"/>
        <w:sz w:val="14"/>
        <w:szCs w:val="14"/>
        <w:lang w:val="en-US"/>
      </w:rPr>
    </w:pPr>
    <w:proofErr w:type="spellStart"/>
    <w:r w:rsidRPr="00C07127">
      <w:rPr>
        <w:rFonts w:eastAsiaTheme="minorHAnsi" w:cstheme="minorBidi"/>
        <w:sz w:val="14"/>
        <w:szCs w:val="14"/>
      </w:rPr>
      <w:t>Colt</w:t>
    </w:r>
    <w:proofErr w:type="spellEnd"/>
    <w:r w:rsidRPr="00C07127">
      <w:rPr>
        <w:rFonts w:eastAsiaTheme="minorHAnsi" w:cstheme="minorBidi"/>
        <w:sz w:val="14"/>
        <w:szCs w:val="14"/>
      </w:rPr>
      <w:t xml:space="preserve"> CZ Group SE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w:t>
    </w:r>
    <w:r>
      <w:rPr>
        <w:rFonts w:eastAsiaTheme="minorHAnsi" w:cstheme="minorBidi"/>
        <w:sz w:val="14"/>
        <w:szCs w:val="14"/>
      </w:rPr>
      <w:t xml:space="preserve">náměstí Republiky </w:t>
    </w:r>
    <w:r w:rsidRPr="009F2FAE">
      <w:rPr>
        <w:rFonts w:eastAsiaTheme="minorHAnsi" w:cstheme="minorBidi"/>
        <w:sz w:val="14"/>
        <w:szCs w:val="14"/>
      </w:rPr>
      <w:t>2090/</w:t>
    </w:r>
    <w:proofErr w:type="gramStart"/>
    <w:r w:rsidRPr="009F2FAE">
      <w:rPr>
        <w:rFonts w:eastAsiaTheme="minorHAnsi" w:cstheme="minorBidi"/>
        <w:sz w:val="14"/>
        <w:szCs w:val="14"/>
      </w:rPr>
      <w:t>3a</w:t>
    </w:r>
    <w:proofErr w:type="gramEnd"/>
    <w:r w:rsidRPr="00C07127">
      <w:rPr>
        <w:rFonts w:eastAsiaTheme="minorHAnsi" w:cstheme="minorBidi"/>
        <w:sz w:val="14"/>
        <w:szCs w:val="14"/>
      </w:rPr>
      <w:t xml:space="preserve">, 110 00 Prague 1, Czech Republic </w:t>
    </w:r>
    <w:r w:rsidRPr="00C07127">
      <w:rPr>
        <w:rFonts w:eastAsiaTheme="minorHAnsi" w:cstheme="minorBidi"/>
        <w:color w:val="B1603D"/>
        <w:sz w:val="14"/>
        <w:szCs w:val="14"/>
        <w:lang w:val="en-US"/>
      </w:rPr>
      <w:t>|</w:t>
    </w:r>
    <w:r w:rsidRPr="00C07127">
      <w:rPr>
        <w:rFonts w:eastAsiaTheme="minorHAnsi" w:cstheme="minorBidi"/>
        <w:sz w:val="14"/>
        <w:szCs w:val="14"/>
      </w:rPr>
      <w:t xml:space="preserve"> TIN 29151961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VAT CZ 29151961</w:t>
    </w:r>
  </w:p>
  <w:p w14:paraId="609DB7A9" w14:textId="53C7D674" w:rsidR="002D1D6E" w:rsidRPr="00C07127" w:rsidRDefault="00E21409" w:rsidP="00E21409">
    <w:pPr>
      <w:pStyle w:val="Zpat"/>
      <w:jc w:val="left"/>
    </w:pPr>
    <w:r w:rsidRPr="00C07127">
      <w:rPr>
        <w:rFonts w:eastAsiaTheme="minorHAnsi" w:cstheme="minorBidi"/>
        <w:sz w:val="14"/>
        <w:szCs w:val="14"/>
        <w:lang w:val="en-US"/>
      </w:rPr>
      <w:t xml:space="preserve">Registered in Commercial Register kept by the Municipal Court in Prague, File H 962           </w:t>
    </w:r>
    <w:r>
      <w:rPr>
        <w:rFonts w:eastAsiaTheme="minorHAnsi" w:cstheme="minorBidi"/>
        <w:sz w:val="14"/>
        <w:szCs w:val="14"/>
        <w:lang w:val="en-US"/>
      </w:rPr>
      <w:t xml:space="preserve">                                      </w:t>
    </w:r>
    <w:r w:rsidR="00C07127" w:rsidRPr="00C07127">
      <w:rPr>
        <w:rFonts w:eastAsiaTheme="minorHAnsi" w:cstheme="minorBidi"/>
        <w:color w:val="B1603D"/>
        <w:sz w:val="14"/>
        <w:szCs w:val="14"/>
        <w:lang w:val="en-US"/>
      </w:rPr>
      <w:t>coltczgroup.com</w:t>
    </w:r>
    <w:r w:rsidR="00C07127" w:rsidRPr="00C07127">
      <w:rPr>
        <w:rFonts w:eastAsiaTheme="minorHAnsi" w:cstheme="minorBidi"/>
        <w:sz w:val="14"/>
        <w:szCs w:val="14"/>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235318" w14:textId="77777777" w:rsidR="006E734E" w:rsidRDefault="006E734E" w:rsidP="006547EF">
      <w:pPr>
        <w:spacing w:before="0" w:after="0"/>
      </w:pPr>
      <w:r>
        <w:separator/>
      </w:r>
    </w:p>
  </w:footnote>
  <w:footnote w:type="continuationSeparator" w:id="0">
    <w:p w14:paraId="7386F196" w14:textId="77777777" w:rsidR="006E734E" w:rsidRDefault="006E734E" w:rsidP="006547EF">
      <w:pPr>
        <w:spacing w:before="0" w:after="0"/>
      </w:pPr>
      <w:r>
        <w:continuationSeparator/>
      </w:r>
    </w:p>
  </w:footnote>
  <w:footnote w:type="continuationNotice" w:id="1">
    <w:p w14:paraId="5F51C60C" w14:textId="77777777" w:rsidR="006E734E" w:rsidRDefault="006E734E">
      <w:pPr>
        <w:spacing w:before="0" w:after="0"/>
      </w:pPr>
    </w:p>
  </w:footnote>
  <w:footnote w:id="2">
    <w:p w14:paraId="327F5AB8" w14:textId="77777777" w:rsidR="00B7162E" w:rsidRDefault="00B7162E" w:rsidP="00B7162E">
      <w:pPr>
        <w:pStyle w:val="Textpoznpodarou"/>
        <w:rPr>
          <w:sz w:val="14"/>
          <w:szCs w:val="14"/>
          <w:lang w:val="en-US"/>
        </w:rPr>
      </w:pPr>
      <w:r>
        <w:rPr>
          <w:rStyle w:val="Znakapoznpodarou"/>
        </w:rPr>
        <w:footnoteRef/>
      </w:r>
      <w:r>
        <w:t xml:space="preserve"> </w:t>
      </w:r>
      <w:r>
        <w:rPr>
          <w:sz w:val="14"/>
          <w:szCs w:val="14"/>
          <w:lang w:val="en-US"/>
        </w:rPr>
        <w:t>One-off adjustments described in the appendix</w:t>
      </w:r>
    </w:p>
    <w:p w14:paraId="5AC820EE" w14:textId="77777777" w:rsidR="00B7162E" w:rsidRDefault="00B7162E" w:rsidP="00B7162E">
      <w:pPr>
        <w:pStyle w:val="Textpoznpodarou"/>
      </w:pPr>
    </w:p>
  </w:footnote>
  <w:footnote w:id="3">
    <w:p w14:paraId="4AA42D5E" w14:textId="77777777" w:rsidR="00B7162E" w:rsidRPr="000475DA" w:rsidRDefault="00B7162E" w:rsidP="00B7162E">
      <w:pPr>
        <w:pStyle w:val="Textpoznpodarou"/>
        <w:rPr>
          <w:rFonts w:ascii="Calibri" w:hAnsi="Calibri" w:cs="Calibri"/>
          <w:lang w:val="en-US"/>
        </w:rPr>
      </w:pPr>
      <w:r w:rsidRPr="000475DA">
        <w:rPr>
          <w:rStyle w:val="Znakapoznpodarou"/>
          <w:rFonts w:cs="Calibri"/>
          <w:sz w:val="14"/>
          <w:szCs w:val="14"/>
          <w:lang w:val="en-US"/>
        </w:rPr>
        <w:footnoteRef/>
      </w:r>
      <w:r w:rsidRPr="000475DA">
        <w:rPr>
          <w:rFonts w:cs="Calibri"/>
          <w:sz w:val="14"/>
          <w:szCs w:val="14"/>
          <w:lang w:val="en-US"/>
        </w:rPr>
        <w:t xml:space="preserve"> </w:t>
      </w:r>
      <w:r w:rsidRPr="000A1EFD">
        <w:rPr>
          <w:sz w:val="14"/>
          <w:szCs w:val="14"/>
          <w:lang w:val="en-US"/>
        </w:rPr>
        <w:t>In the nine months of 2024, EBITDA was adjusted by one-off items related to unrealized acquisitions, payments related to the employee stock option plan, and one-off expenses connected with the acquisition of Sellier &amp; Bellot – inventory step up and commodity hedging, which are unrelated to operational performance and value creation in the given period</w:t>
      </w:r>
      <w:r>
        <w:rPr>
          <w:sz w:val="14"/>
          <w:szCs w:val="14"/>
          <w:lang w:val="en-US"/>
        </w:rPr>
        <w:t xml:space="preserve">. </w:t>
      </w:r>
      <w:r w:rsidRPr="000475DA">
        <w:rPr>
          <w:sz w:val="14"/>
          <w:szCs w:val="14"/>
          <w:lang w:val="en-US"/>
        </w:rPr>
        <w:t xml:space="preserve">In the first nine months of 2023, EBITDA was adjusted by one-off items related to acquisitions and payments related to the employee stock option plan which are not related to operational performance and value creation in the given period. </w:t>
      </w:r>
    </w:p>
  </w:footnote>
  <w:footnote w:id="4">
    <w:p w14:paraId="176D4000" w14:textId="77777777" w:rsidR="00B7162E" w:rsidRDefault="00B7162E" w:rsidP="00B7162E">
      <w:pPr>
        <w:pStyle w:val="Textpoznpodarou"/>
      </w:pPr>
      <w:r w:rsidRPr="000475DA">
        <w:rPr>
          <w:rStyle w:val="Znakapoznpodarou"/>
        </w:rPr>
        <w:footnoteRef/>
      </w:r>
      <w:r w:rsidRPr="000475DA">
        <w:t xml:space="preserve"> </w:t>
      </w:r>
      <w:r w:rsidRPr="00D4433C">
        <w:rPr>
          <w:sz w:val="14"/>
          <w:szCs w:val="14"/>
          <w:lang w:val="en-US"/>
        </w:rPr>
        <w:t xml:space="preserve">In </w:t>
      </w:r>
      <w:r>
        <w:rPr>
          <w:sz w:val="14"/>
          <w:szCs w:val="14"/>
          <w:lang w:val="en-US"/>
        </w:rPr>
        <w:t>9M</w:t>
      </w:r>
      <w:r w:rsidRPr="00D4433C">
        <w:rPr>
          <w:sz w:val="14"/>
          <w:szCs w:val="14"/>
          <w:lang w:val="en-US"/>
        </w:rPr>
        <w:t xml:space="preserve"> 2024, net profit was adjusted by one-off items related to unrealized acquisitions, payments related to the employee stock option plan, and one-off expenses connected with the acquisition of Sellier &amp; Bellot – inventory step up cost related to the bond issue and bank fees related with acquisition loan. In 9M 2023, net profit was adjusted by one-off items related to acquisitions and payments related to the employee stock option plan, cost of revaluation of equity earnout related to the Colt acquisition and by financing cost related to bond issue which are not related to operational performance and value creation in the given period and was also adjusted by the profit from the negative goodwill in connection with the </w:t>
      </w:r>
      <w:proofErr w:type="spellStart"/>
      <w:r w:rsidRPr="00D4433C">
        <w:rPr>
          <w:sz w:val="14"/>
          <w:szCs w:val="14"/>
          <w:lang w:val="en-US"/>
        </w:rPr>
        <w:t>swissAA</w:t>
      </w:r>
      <w:proofErr w:type="spellEnd"/>
      <w:r w:rsidRPr="00D4433C">
        <w:rPr>
          <w:sz w:val="14"/>
          <w:szCs w:val="14"/>
          <w:lang w:val="en-US"/>
        </w:rPr>
        <w:t xml:space="preserve"> acquisition.</w:t>
      </w:r>
      <w:r w:rsidRPr="000475DA">
        <w:rPr>
          <w:sz w:val="14"/>
          <w:szCs w:val="14"/>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ED1E7" w14:textId="77777777" w:rsidR="005166BE" w:rsidRPr="0034239F" w:rsidRDefault="0034239F" w:rsidP="0034239F">
    <w:pPr>
      <w:pStyle w:val="Zhlav"/>
      <w:ind w:hanging="1560"/>
    </w:pPr>
    <w:r>
      <w:rPr>
        <w:noProof/>
      </w:rPr>
      <w:drawing>
        <wp:inline distT="0" distB="0" distL="0" distR="0" wp14:anchorId="4408D89F" wp14:editId="226B2DD8">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A8A4D" w14:textId="77777777" w:rsidR="000D4999" w:rsidRDefault="000D4999" w:rsidP="0020291C">
    <w:pPr>
      <w:pStyle w:val="Zhlav"/>
      <w:ind w:hanging="1560"/>
    </w:pPr>
    <w:r>
      <w:rPr>
        <w:noProof/>
      </w:rPr>
      <w:drawing>
        <wp:inline distT="0" distB="0" distL="0" distR="0" wp14:anchorId="04CA8865" wp14:editId="68DF44C2">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987165"/>
    <w:multiLevelType w:val="multilevel"/>
    <w:tmpl w:val="1590BE58"/>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 w15:restartNumberingAfterBreak="0">
    <w:nsid w:val="0D842922"/>
    <w:multiLevelType w:val="hybridMultilevel"/>
    <w:tmpl w:val="798EC8AC"/>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 w15:restartNumberingAfterBreak="0">
    <w:nsid w:val="149B328F"/>
    <w:multiLevelType w:val="hybridMultilevel"/>
    <w:tmpl w:val="1B2CB854"/>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 w15:restartNumberingAfterBreak="0">
    <w:nsid w:val="16C94441"/>
    <w:multiLevelType w:val="hybridMultilevel"/>
    <w:tmpl w:val="F72E2E74"/>
    <w:lvl w:ilvl="0" w:tplc="4A88ADF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8C452E2"/>
    <w:multiLevelType w:val="hybridMultilevel"/>
    <w:tmpl w:val="ED0226F4"/>
    <w:lvl w:ilvl="0" w:tplc="AEC0A4F2">
      <w:start w:val="1"/>
      <w:numFmt w:val="bullet"/>
      <w:lvlText w:val="▶"/>
      <w:lvlJc w:val="left"/>
      <w:pPr>
        <w:ind w:left="360"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15:restartNumberingAfterBreak="0">
    <w:nsid w:val="19C26382"/>
    <w:multiLevelType w:val="multilevel"/>
    <w:tmpl w:val="F2820CF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6"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7" w15:restartNumberingAfterBreak="0">
    <w:nsid w:val="26536A81"/>
    <w:multiLevelType w:val="multilevel"/>
    <w:tmpl w:val="D96ED21C"/>
    <w:name w:val="ClientDocText"/>
    <w:lvl w:ilvl="0">
      <w:start w:val="1"/>
      <w:numFmt w:val="none"/>
      <w:pStyle w:val="DocText"/>
      <w:suff w:val="nothing"/>
      <w:lvlText w:val=""/>
      <w:lvlJc w:val="left"/>
      <w:pPr>
        <w:ind w:left="0" w:firstLine="0"/>
      </w:pPr>
    </w:lvl>
    <w:lvl w:ilvl="1">
      <w:start w:val="1"/>
      <w:numFmt w:val="none"/>
      <w:pStyle w:val="DocTextL1"/>
      <w:suff w:val="nothing"/>
      <w:lvlText w:val=""/>
      <w:lvlJc w:val="left"/>
      <w:pPr>
        <w:ind w:left="720" w:firstLine="0"/>
      </w:pPr>
    </w:lvl>
    <w:lvl w:ilvl="2">
      <w:start w:val="1"/>
      <w:numFmt w:val="none"/>
      <w:pStyle w:val="DocTextL2"/>
      <w:suff w:val="nothing"/>
      <w:lvlText w:val=""/>
      <w:lvlJc w:val="left"/>
      <w:pPr>
        <w:ind w:left="1440" w:firstLine="0"/>
      </w:pPr>
    </w:lvl>
    <w:lvl w:ilvl="3">
      <w:start w:val="1"/>
      <w:numFmt w:val="none"/>
      <w:pStyle w:val="DocTextL3"/>
      <w:suff w:val="nothing"/>
      <w:lvlText w:val=""/>
      <w:lvlJc w:val="left"/>
      <w:pPr>
        <w:ind w:left="2160" w:firstLine="0"/>
      </w:pPr>
    </w:lvl>
    <w:lvl w:ilvl="4">
      <w:start w:val="1"/>
      <w:numFmt w:val="none"/>
      <w:pStyle w:val="DocTextL4"/>
      <w:suff w:val="nothing"/>
      <w:lvlText w:val=""/>
      <w:lvlJc w:val="left"/>
      <w:pPr>
        <w:ind w:left="2880" w:firstLine="0"/>
      </w:pPr>
    </w:lvl>
    <w:lvl w:ilvl="5">
      <w:start w:val="1"/>
      <w:numFmt w:val="none"/>
      <w:pStyle w:val="DocTextL5"/>
      <w:suff w:val="nothing"/>
      <w:lvlText w:val=""/>
      <w:lvlJc w:val="left"/>
      <w:pPr>
        <w:ind w:left="3600" w:firstLine="0"/>
      </w:pPr>
    </w:lvl>
    <w:lvl w:ilvl="6">
      <w:start w:val="1"/>
      <w:numFmt w:val="none"/>
      <w:pStyle w:val="DocTextL6"/>
      <w:suff w:val="nothing"/>
      <w:lvlText w:val=""/>
      <w:lvlJc w:val="left"/>
      <w:pPr>
        <w:ind w:left="4320" w:firstLine="0"/>
      </w:pPr>
    </w:lvl>
    <w:lvl w:ilvl="7">
      <w:start w:val="1"/>
      <w:numFmt w:val="none"/>
      <w:pStyle w:val="DocTextL7"/>
      <w:suff w:val="nothing"/>
      <w:lvlText w:val=""/>
      <w:lvlJc w:val="left"/>
      <w:pPr>
        <w:ind w:left="5040" w:firstLine="0"/>
      </w:pPr>
    </w:lvl>
    <w:lvl w:ilvl="8">
      <w:start w:val="1"/>
      <w:numFmt w:val="none"/>
      <w:pStyle w:val="DocTextL8"/>
      <w:suff w:val="nothing"/>
      <w:lvlText w:val=""/>
      <w:lvlJc w:val="left"/>
      <w:pPr>
        <w:ind w:left="5760" w:firstLine="0"/>
      </w:pPr>
    </w:lvl>
  </w:abstractNum>
  <w:abstractNum w:abstractNumId="8" w15:restartNumberingAfterBreak="0">
    <w:nsid w:val="318D3CF2"/>
    <w:multiLevelType w:val="hybridMultilevel"/>
    <w:tmpl w:val="8AAEB4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0" w15:restartNumberingAfterBreak="0">
    <w:nsid w:val="3BB2635A"/>
    <w:multiLevelType w:val="hybridMultilevel"/>
    <w:tmpl w:val="9FBEE898"/>
    <w:lvl w:ilvl="0" w:tplc="0D12BA4A">
      <w:start w:val="1"/>
      <w:numFmt w:val="lowerLetter"/>
      <w:lvlText w:val="%1)"/>
      <w:lvlJc w:val="left"/>
      <w:pPr>
        <w:ind w:left="1080" w:hanging="360"/>
      </w:pPr>
      <w:rPr>
        <w:rFonts w:ascii="Atyp Colt CZ" w:hAnsi="Atyp Colt CZ" w:hint="default"/>
        <w:b w:val="0"/>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12" w15:restartNumberingAfterBreak="0">
    <w:nsid w:val="5B9812FF"/>
    <w:multiLevelType w:val="hybridMultilevel"/>
    <w:tmpl w:val="3002164C"/>
    <w:lvl w:ilvl="0" w:tplc="751C4972">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3"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4" w15:restartNumberingAfterBreak="0">
    <w:nsid w:val="67D22679"/>
    <w:multiLevelType w:val="hybridMultilevel"/>
    <w:tmpl w:val="F9FA791C"/>
    <w:lvl w:ilvl="0" w:tplc="9D92569C">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5" w15:restartNumberingAfterBreak="0">
    <w:nsid w:val="6AE04FFC"/>
    <w:multiLevelType w:val="hybridMultilevel"/>
    <w:tmpl w:val="FB245790"/>
    <w:lvl w:ilvl="0" w:tplc="04050019">
      <w:start w:val="1"/>
      <w:numFmt w:val="lowerLetter"/>
      <w:lvlText w:val="%1."/>
      <w:lvlJc w:val="left"/>
      <w:pPr>
        <w:ind w:left="1080" w:hanging="360"/>
      </w:pPr>
      <w:rPr>
        <w:rFonts w:hint="default"/>
        <w:b w:val="0"/>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17"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1958171591">
    <w:abstractNumId w:val="0"/>
  </w:num>
  <w:num w:numId="2" w16cid:durableId="1393582894">
    <w:abstractNumId w:val="9"/>
  </w:num>
  <w:num w:numId="3" w16cid:durableId="124394110">
    <w:abstractNumId w:val="6"/>
  </w:num>
  <w:num w:numId="4" w16cid:durableId="631641802">
    <w:abstractNumId w:val="13"/>
  </w:num>
  <w:num w:numId="5" w16cid:durableId="1215778394">
    <w:abstractNumId w:val="11"/>
  </w:num>
  <w:num w:numId="6" w16cid:durableId="1230771740">
    <w:abstractNumId w:val="5"/>
  </w:num>
  <w:num w:numId="7" w16cid:durableId="281111811">
    <w:abstractNumId w:val="0"/>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8" w16cid:durableId="234517799">
    <w:abstractNumId w:val="2"/>
  </w:num>
  <w:num w:numId="9" w16cid:durableId="569315126">
    <w:abstractNumId w:val="17"/>
  </w:num>
  <w:num w:numId="10" w16cid:durableId="1700348953">
    <w:abstractNumId w:val="16"/>
  </w:num>
  <w:num w:numId="11" w16cid:durableId="1556622027">
    <w:abstractNumId w:val="7"/>
  </w:num>
  <w:num w:numId="12" w16cid:durableId="1143766924">
    <w:abstractNumId w:val="2"/>
  </w:num>
  <w:num w:numId="13" w16cid:durableId="2017464729">
    <w:abstractNumId w:val="3"/>
  </w:num>
  <w:num w:numId="14" w16cid:durableId="76948458">
    <w:abstractNumId w:val="12"/>
  </w:num>
  <w:num w:numId="15" w16cid:durableId="841168866">
    <w:abstractNumId w:val="14"/>
  </w:num>
  <w:num w:numId="16" w16cid:durableId="1870876023">
    <w:abstractNumId w:val="8"/>
  </w:num>
  <w:num w:numId="17" w16cid:durableId="182715810">
    <w:abstractNumId w:val="2"/>
  </w:num>
  <w:num w:numId="18" w16cid:durableId="165101171">
    <w:abstractNumId w:val="2"/>
  </w:num>
  <w:num w:numId="19" w16cid:durableId="1041589070">
    <w:abstractNumId w:val="2"/>
  </w:num>
  <w:num w:numId="20" w16cid:durableId="1411192885">
    <w:abstractNumId w:val="4"/>
  </w:num>
  <w:num w:numId="21" w16cid:durableId="282002084">
    <w:abstractNumId w:val="1"/>
  </w:num>
  <w:num w:numId="22" w16cid:durableId="1228149405">
    <w:abstractNumId w:val="10"/>
  </w:num>
  <w:num w:numId="23" w16cid:durableId="1037656003">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D9F"/>
    <w:rsid w:val="000075CB"/>
    <w:rsid w:val="0001238C"/>
    <w:rsid w:val="00012DFF"/>
    <w:rsid w:val="00023C8A"/>
    <w:rsid w:val="0002466C"/>
    <w:rsid w:val="0002785B"/>
    <w:rsid w:val="00031DCA"/>
    <w:rsid w:val="00032590"/>
    <w:rsid w:val="00046B5F"/>
    <w:rsid w:val="000475DA"/>
    <w:rsid w:val="0006390A"/>
    <w:rsid w:val="00064D2F"/>
    <w:rsid w:val="00067C03"/>
    <w:rsid w:val="00075BE6"/>
    <w:rsid w:val="00081911"/>
    <w:rsid w:val="000A1EFD"/>
    <w:rsid w:val="000A6227"/>
    <w:rsid w:val="000A66C6"/>
    <w:rsid w:val="000B2A7D"/>
    <w:rsid w:val="000C5AB1"/>
    <w:rsid w:val="000D0661"/>
    <w:rsid w:val="000D0A34"/>
    <w:rsid w:val="000D1109"/>
    <w:rsid w:val="000D28BD"/>
    <w:rsid w:val="000D4999"/>
    <w:rsid w:val="000E220C"/>
    <w:rsid w:val="000F12DC"/>
    <w:rsid w:val="000F21A3"/>
    <w:rsid w:val="000F6DD0"/>
    <w:rsid w:val="000F7895"/>
    <w:rsid w:val="00101C11"/>
    <w:rsid w:val="00104341"/>
    <w:rsid w:val="00106FA4"/>
    <w:rsid w:val="0011114F"/>
    <w:rsid w:val="0011583D"/>
    <w:rsid w:val="0011598F"/>
    <w:rsid w:val="001207D7"/>
    <w:rsid w:val="00137361"/>
    <w:rsid w:val="0014068C"/>
    <w:rsid w:val="00141ED8"/>
    <w:rsid w:val="00141EFD"/>
    <w:rsid w:val="0014227C"/>
    <w:rsid w:val="001426E5"/>
    <w:rsid w:val="00142FE7"/>
    <w:rsid w:val="001439B2"/>
    <w:rsid w:val="00154F03"/>
    <w:rsid w:val="00157F57"/>
    <w:rsid w:val="00166A11"/>
    <w:rsid w:val="00181D60"/>
    <w:rsid w:val="001968A6"/>
    <w:rsid w:val="001B075A"/>
    <w:rsid w:val="001B0AD0"/>
    <w:rsid w:val="001C3845"/>
    <w:rsid w:val="001C4617"/>
    <w:rsid w:val="001C5673"/>
    <w:rsid w:val="001F67A4"/>
    <w:rsid w:val="001F70F6"/>
    <w:rsid w:val="002007ED"/>
    <w:rsid w:val="002016DB"/>
    <w:rsid w:val="0020291C"/>
    <w:rsid w:val="002060BF"/>
    <w:rsid w:val="002203DE"/>
    <w:rsid w:val="0022636E"/>
    <w:rsid w:val="0023293A"/>
    <w:rsid w:val="002338A1"/>
    <w:rsid w:val="0024081D"/>
    <w:rsid w:val="002419A9"/>
    <w:rsid w:val="0025036B"/>
    <w:rsid w:val="00253DC5"/>
    <w:rsid w:val="00261491"/>
    <w:rsid w:val="002618C1"/>
    <w:rsid w:val="00273164"/>
    <w:rsid w:val="002739AB"/>
    <w:rsid w:val="002808BD"/>
    <w:rsid w:val="00280934"/>
    <w:rsid w:val="0028562B"/>
    <w:rsid w:val="0029223D"/>
    <w:rsid w:val="00294600"/>
    <w:rsid w:val="002B4FA7"/>
    <w:rsid w:val="002B6B3D"/>
    <w:rsid w:val="002B774A"/>
    <w:rsid w:val="002C1BD4"/>
    <w:rsid w:val="002D0D79"/>
    <w:rsid w:val="002D1D6E"/>
    <w:rsid w:val="002D51BB"/>
    <w:rsid w:val="002E7110"/>
    <w:rsid w:val="002F1333"/>
    <w:rsid w:val="002F6C00"/>
    <w:rsid w:val="002F6D00"/>
    <w:rsid w:val="0030624C"/>
    <w:rsid w:val="0031202F"/>
    <w:rsid w:val="003170F7"/>
    <w:rsid w:val="0032033D"/>
    <w:rsid w:val="00327F29"/>
    <w:rsid w:val="00336449"/>
    <w:rsid w:val="00336577"/>
    <w:rsid w:val="0034239F"/>
    <w:rsid w:val="00342932"/>
    <w:rsid w:val="00342E01"/>
    <w:rsid w:val="00344DC2"/>
    <w:rsid w:val="00351F75"/>
    <w:rsid w:val="00363EE6"/>
    <w:rsid w:val="00364F2B"/>
    <w:rsid w:val="00365414"/>
    <w:rsid w:val="00365F7C"/>
    <w:rsid w:val="0037428E"/>
    <w:rsid w:val="003742D2"/>
    <w:rsid w:val="003761C7"/>
    <w:rsid w:val="003860F5"/>
    <w:rsid w:val="0039192E"/>
    <w:rsid w:val="003A26B0"/>
    <w:rsid w:val="003B544D"/>
    <w:rsid w:val="003C62F5"/>
    <w:rsid w:val="003D5AF8"/>
    <w:rsid w:val="00404139"/>
    <w:rsid w:val="00406574"/>
    <w:rsid w:val="0041411C"/>
    <w:rsid w:val="0041654A"/>
    <w:rsid w:val="004214D4"/>
    <w:rsid w:val="004261DC"/>
    <w:rsid w:val="004406BA"/>
    <w:rsid w:val="00442C0C"/>
    <w:rsid w:val="00446D64"/>
    <w:rsid w:val="00455A5C"/>
    <w:rsid w:val="00455BC6"/>
    <w:rsid w:val="00460B55"/>
    <w:rsid w:val="00462ED0"/>
    <w:rsid w:val="004718A8"/>
    <w:rsid w:val="00471995"/>
    <w:rsid w:val="00471E2F"/>
    <w:rsid w:val="00477C35"/>
    <w:rsid w:val="00494A2F"/>
    <w:rsid w:val="004A1047"/>
    <w:rsid w:val="004A2AC7"/>
    <w:rsid w:val="004A2BF1"/>
    <w:rsid w:val="004B2B5F"/>
    <w:rsid w:val="004C2966"/>
    <w:rsid w:val="004C4C38"/>
    <w:rsid w:val="004C6FC1"/>
    <w:rsid w:val="004D78F8"/>
    <w:rsid w:val="004E7C09"/>
    <w:rsid w:val="004F064E"/>
    <w:rsid w:val="004F68EC"/>
    <w:rsid w:val="004F722E"/>
    <w:rsid w:val="00500F28"/>
    <w:rsid w:val="00504D47"/>
    <w:rsid w:val="00513F3A"/>
    <w:rsid w:val="005166BE"/>
    <w:rsid w:val="00544659"/>
    <w:rsid w:val="005506F4"/>
    <w:rsid w:val="00551CD9"/>
    <w:rsid w:val="00554740"/>
    <w:rsid w:val="005644E6"/>
    <w:rsid w:val="005741FD"/>
    <w:rsid w:val="0057680B"/>
    <w:rsid w:val="005778D7"/>
    <w:rsid w:val="00580143"/>
    <w:rsid w:val="00582B26"/>
    <w:rsid w:val="00586C7C"/>
    <w:rsid w:val="005870A3"/>
    <w:rsid w:val="0059405D"/>
    <w:rsid w:val="0059427F"/>
    <w:rsid w:val="005A44E1"/>
    <w:rsid w:val="005B76A5"/>
    <w:rsid w:val="005B79D9"/>
    <w:rsid w:val="005C0611"/>
    <w:rsid w:val="005C30E4"/>
    <w:rsid w:val="005C4221"/>
    <w:rsid w:val="005C5E6F"/>
    <w:rsid w:val="005D5074"/>
    <w:rsid w:val="005E0D20"/>
    <w:rsid w:val="005E1858"/>
    <w:rsid w:val="005E59AB"/>
    <w:rsid w:val="005E6D79"/>
    <w:rsid w:val="005F41C8"/>
    <w:rsid w:val="005F55FF"/>
    <w:rsid w:val="006037CD"/>
    <w:rsid w:val="00607036"/>
    <w:rsid w:val="00607363"/>
    <w:rsid w:val="00614DB5"/>
    <w:rsid w:val="00616D6A"/>
    <w:rsid w:val="0061745C"/>
    <w:rsid w:val="00621554"/>
    <w:rsid w:val="00624F2A"/>
    <w:rsid w:val="0063512B"/>
    <w:rsid w:val="006503F9"/>
    <w:rsid w:val="006547EF"/>
    <w:rsid w:val="006570D5"/>
    <w:rsid w:val="00660AA8"/>
    <w:rsid w:val="0066162A"/>
    <w:rsid w:val="0066170E"/>
    <w:rsid w:val="00667373"/>
    <w:rsid w:val="00671C35"/>
    <w:rsid w:val="00682C36"/>
    <w:rsid w:val="006854D5"/>
    <w:rsid w:val="00685D75"/>
    <w:rsid w:val="00691078"/>
    <w:rsid w:val="006913A7"/>
    <w:rsid w:val="00697D5F"/>
    <w:rsid w:val="006A21F7"/>
    <w:rsid w:val="006A41A5"/>
    <w:rsid w:val="006C0A2C"/>
    <w:rsid w:val="006C35D2"/>
    <w:rsid w:val="006D69F4"/>
    <w:rsid w:val="006E18D8"/>
    <w:rsid w:val="006E5630"/>
    <w:rsid w:val="006E734E"/>
    <w:rsid w:val="006E7A34"/>
    <w:rsid w:val="006F190F"/>
    <w:rsid w:val="006F46AD"/>
    <w:rsid w:val="006F5A77"/>
    <w:rsid w:val="006F5BA9"/>
    <w:rsid w:val="0070621C"/>
    <w:rsid w:val="00707179"/>
    <w:rsid w:val="00710332"/>
    <w:rsid w:val="007141A4"/>
    <w:rsid w:val="0071728C"/>
    <w:rsid w:val="007201A6"/>
    <w:rsid w:val="00721002"/>
    <w:rsid w:val="00732523"/>
    <w:rsid w:val="007329AF"/>
    <w:rsid w:val="00743C0B"/>
    <w:rsid w:val="00744D82"/>
    <w:rsid w:val="007506E3"/>
    <w:rsid w:val="0076063D"/>
    <w:rsid w:val="007715E4"/>
    <w:rsid w:val="00773130"/>
    <w:rsid w:val="00782435"/>
    <w:rsid w:val="0078453B"/>
    <w:rsid w:val="00795ED0"/>
    <w:rsid w:val="007A0A74"/>
    <w:rsid w:val="007A1810"/>
    <w:rsid w:val="007A3121"/>
    <w:rsid w:val="007A4734"/>
    <w:rsid w:val="007A5D07"/>
    <w:rsid w:val="007A6F6B"/>
    <w:rsid w:val="007B155C"/>
    <w:rsid w:val="007B3E35"/>
    <w:rsid w:val="007D0463"/>
    <w:rsid w:val="007D0534"/>
    <w:rsid w:val="008215BB"/>
    <w:rsid w:val="00831A09"/>
    <w:rsid w:val="00846B9C"/>
    <w:rsid w:val="00850E65"/>
    <w:rsid w:val="0085140F"/>
    <w:rsid w:val="00856AFF"/>
    <w:rsid w:val="008627DF"/>
    <w:rsid w:val="00866DF8"/>
    <w:rsid w:val="00872209"/>
    <w:rsid w:val="00876CEA"/>
    <w:rsid w:val="008831F2"/>
    <w:rsid w:val="00890F40"/>
    <w:rsid w:val="00894C2D"/>
    <w:rsid w:val="008950DB"/>
    <w:rsid w:val="008978BE"/>
    <w:rsid w:val="008A138E"/>
    <w:rsid w:val="008A5AE6"/>
    <w:rsid w:val="008B38BA"/>
    <w:rsid w:val="008B4052"/>
    <w:rsid w:val="008B54FB"/>
    <w:rsid w:val="008B58FB"/>
    <w:rsid w:val="008C643D"/>
    <w:rsid w:val="008D6306"/>
    <w:rsid w:val="008D63E7"/>
    <w:rsid w:val="008E3B36"/>
    <w:rsid w:val="008F1D19"/>
    <w:rsid w:val="008F385E"/>
    <w:rsid w:val="008F3C0E"/>
    <w:rsid w:val="008F52D4"/>
    <w:rsid w:val="00914930"/>
    <w:rsid w:val="00915882"/>
    <w:rsid w:val="00934036"/>
    <w:rsid w:val="00946042"/>
    <w:rsid w:val="00946CC6"/>
    <w:rsid w:val="00961B34"/>
    <w:rsid w:val="009627C4"/>
    <w:rsid w:val="00973EF3"/>
    <w:rsid w:val="00974591"/>
    <w:rsid w:val="009819F1"/>
    <w:rsid w:val="0098762D"/>
    <w:rsid w:val="009A056D"/>
    <w:rsid w:val="009A1CD0"/>
    <w:rsid w:val="009A743B"/>
    <w:rsid w:val="009A7EE0"/>
    <w:rsid w:val="009B67D4"/>
    <w:rsid w:val="009C34C4"/>
    <w:rsid w:val="009D13A4"/>
    <w:rsid w:val="009D50E4"/>
    <w:rsid w:val="009E1C21"/>
    <w:rsid w:val="009E1DDB"/>
    <w:rsid w:val="009F1B40"/>
    <w:rsid w:val="009F2C30"/>
    <w:rsid w:val="009F5151"/>
    <w:rsid w:val="009F58BB"/>
    <w:rsid w:val="009F65D8"/>
    <w:rsid w:val="00A021F2"/>
    <w:rsid w:val="00A0443C"/>
    <w:rsid w:val="00A04507"/>
    <w:rsid w:val="00A140A3"/>
    <w:rsid w:val="00A251E8"/>
    <w:rsid w:val="00A27A78"/>
    <w:rsid w:val="00A318E9"/>
    <w:rsid w:val="00A33087"/>
    <w:rsid w:val="00A35FB9"/>
    <w:rsid w:val="00A41581"/>
    <w:rsid w:val="00A41CAA"/>
    <w:rsid w:val="00A42B05"/>
    <w:rsid w:val="00A43B0E"/>
    <w:rsid w:val="00A6284F"/>
    <w:rsid w:val="00A64B50"/>
    <w:rsid w:val="00A65523"/>
    <w:rsid w:val="00A7106B"/>
    <w:rsid w:val="00A71F1F"/>
    <w:rsid w:val="00A72868"/>
    <w:rsid w:val="00A7755A"/>
    <w:rsid w:val="00A80F24"/>
    <w:rsid w:val="00A90173"/>
    <w:rsid w:val="00AA10B3"/>
    <w:rsid w:val="00AA1109"/>
    <w:rsid w:val="00AA118F"/>
    <w:rsid w:val="00AA390A"/>
    <w:rsid w:val="00AA4ACE"/>
    <w:rsid w:val="00AA576E"/>
    <w:rsid w:val="00AB03D8"/>
    <w:rsid w:val="00AB6DCC"/>
    <w:rsid w:val="00AE6153"/>
    <w:rsid w:val="00AE6374"/>
    <w:rsid w:val="00B03883"/>
    <w:rsid w:val="00B115F0"/>
    <w:rsid w:val="00B14B78"/>
    <w:rsid w:val="00B153C3"/>
    <w:rsid w:val="00B172F2"/>
    <w:rsid w:val="00B271FA"/>
    <w:rsid w:val="00B31869"/>
    <w:rsid w:val="00B51FC4"/>
    <w:rsid w:val="00B62B43"/>
    <w:rsid w:val="00B63CA4"/>
    <w:rsid w:val="00B644FB"/>
    <w:rsid w:val="00B64F9F"/>
    <w:rsid w:val="00B67303"/>
    <w:rsid w:val="00B7162E"/>
    <w:rsid w:val="00B7225F"/>
    <w:rsid w:val="00B9174E"/>
    <w:rsid w:val="00B9443C"/>
    <w:rsid w:val="00B94A98"/>
    <w:rsid w:val="00BA1485"/>
    <w:rsid w:val="00BA1B30"/>
    <w:rsid w:val="00BA5713"/>
    <w:rsid w:val="00BB6082"/>
    <w:rsid w:val="00BC6C0E"/>
    <w:rsid w:val="00BD3CAA"/>
    <w:rsid w:val="00BD3D9F"/>
    <w:rsid w:val="00BD52CE"/>
    <w:rsid w:val="00BE0F69"/>
    <w:rsid w:val="00BE47BD"/>
    <w:rsid w:val="00BE5994"/>
    <w:rsid w:val="00BE7D56"/>
    <w:rsid w:val="00BF0532"/>
    <w:rsid w:val="00BF05CD"/>
    <w:rsid w:val="00BF2D9D"/>
    <w:rsid w:val="00BF5574"/>
    <w:rsid w:val="00BF595F"/>
    <w:rsid w:val="00C03272"/>
    <w:rsid w:val="00C07127"/>
    <w:rsid w:val="00C07A40"/>
    <w:rsid w:val="00C15B31"/>
    <w:rsid w:val="00C16D17"/>
    <w:rsid w:val="00C27A16"/>
    <w:rsid w:val="00C46682"/>
    <w:rsid w:val="00C5091B"/>
    <w:rsid w:val="00C52710"/>
    <w:rsid w:val="00C52920"/>
    <w:rsid w:val="00C53366"/>
    <w:rsid w:val="00C545BF"/>
    <w:rsid w:val="00C55EF5"/>
    <w:rsid w:val="00C56BFA"/>
    <w:rsid w:val="00C6413C"/>
    <w:rsid w:val="00C66704"/>
    <w:rsid w:val="00C73D83"/>
    <w:rsid w:val="00C74974"/>
    <w:rsid w:val="00C76509"/>
    <w:rsid w:val="00C76BD8"/>
    <w:rsid w:val="00C842BC"/>
    <w:rsid w:val="00C9232A"/>
    <w:rsid w:val="00C96072"/>
    <w:rsid w:val="00CB1D0F"/>
    <w:rsid w:val="00CB364C"/>
    <w:rsid w:val="00CC32F9"/>
    <w:rsid w:val="00CC53D0"/>
    <w:rsid w:val="00CC6651"/>
    <w:rsid w:val="00CD3919"/>
    <w:rsid w:val="00CD4C3A"/>
    <w:rsid w:val="00CE136F"/>
    <w:rsid w:val="00CE5C6F"/>
    <w:rsid w:val="00CF0686"/>
    <w:rsid w:val="00CF7EC4"/>
    <w:rsid w:val="00D019E8"/>
    <w:rsid w:val="00D0385E"/>
    <w:rsid w:val="00D051AA"/>
    <w:rsid w:val="00D07CA1"/>
    <w:rsid w:val="00D162F4"/>
    <w:rsid w:val="00D22053"/>
    <w:rsid w:val="00D2595B"/>
    <w:rsid w:val="00D4433C"/>
    <w:rsid w:val="00D44564"/>
    <w:rsid w:val="00D52797"/>
    <w:rsid w:val="00D54C5A"/>
    <w:rsid w:val="00D60D73"/>
    <w:rsid w:val="00D63093"/>
    <w:rsid w:val="00D76CAC"/>
    <w:rsid w:val="00D81192"/>
    <w:rsid w:val="00D82DB4"/>
    <w:rsid w:val="00D876DD"/>
    <w:rsid w:val="00DB71BE"/>
    <w:rsid w:val="00DC2B5A"/>
    <w:rsid w:val="00DC6F30"/>
    <w:rsid w:val="00DD0E85"/>
    <w:rsid w:val="00DE5748"/>
    <w:rsid w:val="00DE61D3"/>
    <w:rsid w:val="00DE7DC8"/>
    <w:rsid w:val="00DF7943"/>
    <w:rsid w:val="00E06658"/>
    <w:rsid w:val="00E06F88"/>
    <w:rsid w:val="00E11853"/>
    <w:rsid w:val="00E1723F"/>
    <w:rsid w:val="00E21409"/>
    <w:rsid w:val="00E22375"/>
    <w:rsid w:val="00E26188"/>
    <w:rsid w:val="00E30461"/>
    <w:rsid w:val="00E33995"/>
    <w:rsid w:val="00E3774A"/>
    <w:rsid w:val="00E503C2"/>
    <w:rsid w:val="00E53830"/>
    <w:rsid w:val="00E56AB0"/>
    <w:rsid w:val="00E618D5"/>
    <w:rsid w:val="00E753BE"/>
    <w:rsid w:val="00E76942"/>
    <w:rsid w:val="00E835FD"/>
    <w:rsid w:val="00E94E72"/>
    <w:rsid w:val="00EB61D9"/>
    <w:rsid w:val="00EC02BF"/>
    <w:rsid w:val="00EC20E0"/>
    <w:rsid w:val="00EC7039"/>
    <w:rsid w:val="00EC77D6"/>
    <w:rsid w:val="00EC7BF9"/>
    <w:rsid w:val="00ED0332"/>
    <w:rsid w:val="00ED23DD"/>
    <w:rsid w:val="00EE4923"/>
    <w:rsid w:val="00F039AE"/>
    <w:rsid w:val="00F040D4"/>
    <w:rsid w:val="00F17FFD"/>
    <w:rsid w:val="00F22C2B"/>
    <w:rsid w:val="00F26EEC"/>
    <w:rsid w:val="00F31E56"/>
    <w:rsid w:val="00F42AA7"/>
    <w:rsid w:val="00F46300"/>
    <w:rsid w:val="00F51BDA"/>
    <w:rsid w:val="00F73D6B"/>
    <w:rsid w:val="00FA0C93"/>
    <w:rsid w:val="00FB2263"/>
    <w:rsid w:val="00FB2296"/>
    <w:rsid w:val="00FC7A29"/>
    <w:rsid w:val="00FD3306"/>
    <w:rsid w:val="00FD51E6"/>
    <w:rsid w:val="00FF346C"/>
    <w:rsid w:val="00FF5D47"/>
    <w:rsid w:val="01735636"/>
    <w:rsid w:val="01C21707"/>
    <w:rsid w:val="01D1CD8C"/>
    <w:rsid w:val="0520E426"/>
    <w:rsid w:val="05F27949"/>
    <w:rsid w:val="06249BFD"/>
    <w:rsid w:val="0AD2A666"/>
    <w:rsid w:val="0C0AFD55"/>
    <w:rsid w:val="101851CD"/>
    <w:rsid w:val="124E483E"/>
    <w:rsid w:val="15343692"/>
    <w:rsid w:val="166864C3"/>
    <w:rsid w:val="18BADAF4"/>
    <w:rsid w:val="18BFDAF6"/>
    <w:rsid w:val="1A32E2FB"/>
    <w:rsid w:val="1C5C8FC9"/>
    <w:rsid w:val="1D854F23"/>
    <w:rsid w:val="1EA602D6"/>
    <w:rsid w:val="21C97529"/>
    <w:rsid w:val="231E773A"/>
    <w:rsid w:val="24708B9E"/>
    <w:rsid w:val="296B3B56"/>
    <w:rsid w:val="2BAEA439"/>
    <w:rsid w:val="3158E823"/>
    <w:rsid w:val="3629103D"/>
    <w:rsid w:val="39BDDBB8"/>
    <w:rsid w:val="3C0EEB3C"/>
    <w:rsid w:val="3EF8CCA9"/>
    <w:rsid w:val="3FD11352"/>
    <w:rsid w:val="40983D9C"/>
    <w:rsid w:val="42905CFF"/>
    <w:rsid w:val="435C74DB"/>
    <w:rsid w:val="4788A733"/>
    <w:rsid w:val="485796BB"/>
    <w:rsid w:val="4CDF6655"/>
    <w:rsid w:val="52DBB279"/>
    <w:rsid w:val="540F47EB"/>
    <w:rsid w:val="5492308A"/>
    <w:rsid w:val="55BDD9F1"/>
    <w:rsid w:val="572AAD1D"/>
    <w:rsid w:val="58D216CA"/>
    <w:rsid w:val="5B3B1106"/>
    <w:rsid w:val="5D8D304E"/>
    <w:rsid w:val="62E0C7F7"/>
    <w:rsid w:val="68B6C24E"/>
    <w:rsid w:val="6985239F"/>
    <w:rsid w:val="6A37F5D2"/>
    <w:rsid w:val="6ABA9160"/>
    <w:rsid w:val="6DCAF097"/>
    <w:rsid w:val="6E2377CA"/>
    <w:rsid w:val="6FB708EC"/>
    <w:rsid w:val="70D7D7E0"/>
    <w:rsid w:val="78230854"/>
    <w:rsid w:val="795A6F67"/>
    <w:rsid w:val="7977C733"/>
    <w:rsid w:val="79DB04ED"/>
  </w:rsids>
  <m:mathPr>
    <m:mathFont m:val="Cambria Math"/>
    <m:brkBin m:val="before"/>
    <m:brkBinSub m:val="--"/>
    <m:smallFrac m:val="0"/>
    <m:dispDef/>
    <m:lMargin m:val="0"/>
    <m:rMargin m:val="0"/>
    <m:defJc m:val="centerGroup"/>
    <m:wrapIndent m:val="1440"/>
    <m:intLim m:val="subSup"/>
    <m:naryLim m:val="undOvr"/>
  </m:mathPr>
  <w:themeFontLang w:val="cs-CZ"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C36547"/>
  <w15:chartTrackingRefBased/>
  <w15:docId w15:val="{BD67C80D-0055-419B-95B3-7D368067E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68EC"/>
    <w:pPr>
      <w:spacing w:before="180" w:after="180"/>
      <w:jc w:val="both"/>
    </w:pPr>
    <w:rPr>
      <w:rFonts w:ascii="Atyp Colt CZ" w:hAnsi="Atyp Colt CZ"/>
      <w:szCs w:val="24"/>
    </w:rPr>
  </w:style>
  <w:style w:type="paragraph" w:styleId="Nadpis1">
    <w:name w:val="heading 1"/>
    <w:next w:val="Text1"/>
    <w:link w:val="Nadpis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2"/>
      </w:numPr>
      <w:spacing w:before="240" w:after="6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6"/>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1"/>
      </w:numPr>
      <w:tabs>
        <w:tab w:val="clear" w:pos="567"/>
        <w:tab w:val="num" w:pos="360"/>
      </w:tabs>
      <w:spacing w:before="300" w:after="180"/>
      <w:ind w:left="709" w:hanging="709"/>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8"/>
      </w:numPr>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9"/>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10"/>
      </w:numPr>
      <w:tabs>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3"/>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4"/>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5"/>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Atyp Colt CZ" w:hAnsi="Atyp Colt CZ"/>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7"/>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qFormat/>
    <w:rsid w:val="0059405D"/>
    <w:pPr>
      <w:ind w:left="720"/>
      <w:contextualSpacing/>
    </w:pPr>
  </w:style>
  <w:style w:type="paragraph" w:styleId="Textpoznpodarou">
    <w:name w:val="footnote text"/>
    <w:basedOn w:val="Normln"/>
    <w:link w:val="TextpoznpodarouChar"/>
    <w:uiPriority w:val="99"/>
    <w:semiHidden/>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character" w:styleId="Hypertextovodkaz">
    <w:name w:val="Hyperlink"/>
    <w:uiPriority w:val="99"/>
    <w:rsid w:val="00BD3D9F"/>
    <w:rPr>
      <w:u w:val="single"/>
    </w:rPr>
  </w:style>
  <w:style w:type="paragraph" w:customStyle="1" w:styleId="DocText">
    <w:name w:val="DocText"/>
    <w:basedOn w:val="Normln"/>
    <w:rsid w:val="00BD3D9F"/>
    <w:pPr>
      <w:numPr>
        <w:numId w:val="11"/>
      </w:numPr>
      <w:spacing w:before="240" w:after="0" w:line="260" w:lineRule="atLeast"/>
    </w:pPr>
    <w:rPr>
      <w:rFonts w:ascii="Times New Roman" w:eastAsiaTheme="minorHAnsi" w:hAnsi="Times New Roman"/>
      <w:szCs w:val="22"/>
      <w:lang w:val="en-GB"/>
    </w:rPr>
  </w:style>
  <w:style w:type="paragraph" w:customStyle="1" w:styleId="DocTextL1">
    <w:name w:val="DocTextL1"/>
    <w:basedOn w:val="DocText"/>
    <w:rsid w:val="00BD3D9F"/>
    <w:pPr>
      <w:numPr>
        <w:ilvl w:val="1"/>
      </w:numPr>
    </w:pPr>
  </w:style>
  <w:style w:type="paragraph" w:customStyle="1" w:styleId="DocTextL2">
    <w:name w:val="DocTextL2"/>
    <w:basedOn w:val="DocText"/>
    <w:rsid w:val="00BD3D9F"/>
    <w:pPr>
      <w:numPr>
        <w:ilvl w:val="2"/>
      </w:numPr>
    </w:pPr>
  </w:style>
  <w:style w:type="paragraph" w:customStyle="1" w:styleId="DocTextL3">
    <w:name w:val="DocTextL3"/>
    <w:basedOn w:val="DocText"/>
    <w:rsid w:val="00BD3D9F"/>
    <w:pPr>
      <w:numPr>
        <w:ilvl w:val="3"/>
      </w:numPr>
    </w:pPr>
  </w:style>
  <w:style w:type="paragraph" w:customStyle="1" w:styleId="DocTextL4">
    <w:name w:val="DocTextL4"/>
    <w:basedOn w:val="DocText"/>
    <w:rsid w:val="00BD3D9F"/>
    <w:pPr>
      <w:numPr>
        <w:ilvl w:val="4"/>
      </w:numPr>
    </w:pPr>
  </w:style>
  <w:style w:type="paragraph" w:customStyle="1" w:styleId="DocTextL5">
    <w:name w:val="DocTextL5"/>
    <w:basedOn w:val="DocText"/>
    <w:rsid w:val="00BD3D9F"/>
    <w:pPr>
      <w:numPr>
        <w:ilvl w:val="5"/>
      </w:numPr>
    </w:pPr>
  </w:style>
  <w:style w:type="paragraph" w:customStyle="1" w:styleId="DocTextL6">
    <w:name w:val="DocTextL6"/>
    <w:basedOn w:val="DocText"/>
    <w:rsid w:val="00BD3D9F"/>
    <w:pPr>
      <w:numPr>
        <w:ilvl w:val="6"/>
      </w:numPr>
    </w:pPr>
  </w:style>
  <w:style w:type="paragraph" w:customStyle="1" w:styleId="DocTextL7">
    <w:name w:val="DocTextL7"/>
    <w:basedOn w:val="DocText"/>
    <w:rsid w:val="00BD3D9F"/>
    <w:pPr>
      <w:numPr>
        <w:ilvl w:val="7"/>
      </w:numPr>
    </w:pPr>
  </w:style>
  <w:style w:type="paragraph" w:customStyle="1" w:styleId="DocTextL8">
    <w:name w:val="DocTextL8"/>
    <w:basedOn w:val="DocText"/>
    <w:rsid w:val="00BD3D9F"/>
    <w:pPr>
      <w:numPr>
        <w:ilvl w:val="8"/>
      </w:numPr>
    </w:pPr>
  </w:style>
  <w:style w:type="paragraph" w:customStyle="1" w:styleId="ClientNormal">
    <w:name w:val="ClientNormal"/>
    <w:link w:val="ClientNormalChar"/>
    <w:rsid w:val="00BD3D9F"/>
    <w:rPr>
      <w:rFonts w:eastAsiaTheme="minorHAnsi"/>
      <w:szCs w:val="22"/>
      <w:lang w:val="en-GB"/>
    </w:rPr>
  </w:style>
  <w:style w:type="character" w:customStyle="1" w:styleId="ClientNormalChar">
    <w:name w:val="ClientNormal Char"/>
    <w:basedOn w:val="Standardnpsmoodstavce"/>
    <w:link w:val="ClientNormal"/>
    <w:rsid w:val="00BD3D9F"/>
    <w:rPr>
      <w:rFonts w:eastAsiaTheme="minorHAnsi"/>
      <w:szCs w:val="22"/>
      <w:lang w:val="en-GB"/>
    </w:rPr>
  </w:style>
  <w:style w:type="character" w:styleId="Odkaznakoment">
    <w:name w:val="annotation reference"/>
    <w:basedOn w:val="Standardnpsmoodstavce"/>
    <w:uiPriority w:val="99"/>
    <w:semiHidden/>
    <w:unhideWhenUsed/>
    <w:rsid w:val="00181D60"/>
    <w:rPr>
      <w:sz w:val="16"/>
      <w:szCs w:val="16"/>
    </w:rPr>
  </w:style>
  <w:style w:type="paragraph" w:styleId="Textkomente">
    <w:name w:val="annotation text"/>
    <w:basedOn w:val="Normln"/>
    <w:link w:val="TextkomenteChar"/>
    <w:uiPriority w:val="99"/>
    <w:unhideWhenUsed/>
    <w:rsid w:val="00181D60"/>
    <w:rPr>
      <w:szCs w:val="20"/>
    </w:rPr>
  </w:style>
  <w:style w:type="character" w:customStyle="1" w:styleId="TextkomenteChar">
    <w:name w:val="Text komentáře Char"/>
    <w:basedOn w:val="Standardnpsmoodstavce"/>
    <w:link w:val="Textkomente"/>
    <w:uiPriority w:val="99"/>
    <w:rsid w:val="00181D60"/>
    <w:rPr>
      <w:rFonts w:ascii="Atyp Colt CZ" w:hAnsi="Atyp Colt CZ"/>
    </w:rPr>
  </w:style>
  <w:style w:type="paragraph" w:styleId="Pedmtkomente">
    <w:name w:val="annotation subject"/>
    <w:basedOn w:val="Textkomente"/>
    <w:next w:val="Textkomente"/>
    <w:link w:val="PedmtkomenteChar"/>
    <w:uiPriority w:val="99"/>
    <w:semiHidden/>
    <w:unhideWhenUsed/>
    <w:rsid w:val="00181D60"/>
    <w:rPr>
      <w:b/>
      <w:bCs/>
    </w:rPr>
  </w:style>
  <w:style w:type="character" w:customStyle="1" w:styleId="PedmtkomenteChar">
    <w:name w:val="Předmět komentáře Char"/>
    <w:basedOn w:val="TextkomenteChar"/>
    <w:link w:val="Pedmtkomente"/>
    <w:uiPriority w:val="99"/>
    <w:semiHidden/>
    <w:rsid w:val="00181D60"/>
    <w:rPr>
      <w:rFonts w:ascii="Atyp Colt CZ" w:hAnsi="Atyp Colt CZ"/>
      <w:b/>
      <w:bCs/>
    </w:rPr>
  </w:style>
  <w:style w:type="character" w:styleId="Nevyeenzmnka">
    <w:name w:val="Unresolved Mention"/>
    <w:basedOn w:val="Standardnpsmoodstavce"/>
    <w:uiPriority w:val="99"/>
    <w:semiHidden/>
    <w:unhideWhenUsed/>
    <w:rsid w:val="00544659"/>
    <w:rPr>
      <w:color w:val="605E5C"/>
      <w:shd w:val="clear" w:color="auto" w:fill="E1DFDD"/>
    </w:rPr>
  </w:style>
  <w:style w:type="paragraph" w:styleId="Revize">
    <w:name w:val="Revision"/>
    <w:hidden/>
    <w:uiPriority w:val="99"/>
    <w:semiHidden/>
    <w:rsid w:val="00773130"/>
    <w:rPr>
      <w:rFonts w:ascii="Atyp Colt CZ" w:hAnsi="Atyp Colt CZ"/>
      <w:szCs w:val="24"/>
    </w:rPr>
  </w:style>
  <w:style w:type="paragraph" w:styleId="Normlnweb">
    <w:name w:val="Normal (Web)"/>
    <w:basedOn w:val="Normln"/>
    <w:uiPriority w:val="99"/>
    <w:unhideWhenUsed/>
    <w:rsid w:val="008627DF"/>
    <w:pPr>
      <w:spacing w:before="100" w:beforeAutospacing="1" w:after="100" w:afterAutospacing="1"/>
      <w:jc w:val="left"/>
    </w:pPr>
    <w:rPr>
      <w:rFonts w:ascii="Times New Roman" w:hAnsi="Times New Roman"/>
      <w:sz w:val="24"/>
      <w:lang w:eastAsia="zh-TW"/>
    </w:rPr>
  </w:style>
  <w:style w:type="table" w:styleId="Mkatabulky">
    <w:name w:val="Table Grid"/>
    <w:basedOn w:val="Normlntabulka"/>
    <w:uiPriority w:val="39"/>
    <w:rsid w:val="00744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rmtovanvHTML">
    <w:name w:val="HTML Preformatted"/>
    <w:basedOn w:val="Normln"/>
    <w:link w:val="FormtovanvHTMLChar"/>
    <w:uiPriority w:val="99"/>
    <w:semiHidden/>
    <w:unhideWhenUsed/>
    <w:rsid w:val="00E835FD"/>
    <w:pPr>
      <w:spacing w:before="0" w:after="0"/>
    </w:pPr>
    <w:rPr>
      <w:rFonts w:ascii="Consolas" w:hAnsi="Consolas"/>
      <w:szCs w:val="20"/>
    </w:rPr>
  </w:style>
  <w:style w:type="character" w:customStyle="1" w:styleId="FormtovanvHTMLChar">
    <w:name w:val="Formátovaný v HTML Char"/>
    <w:basedOn w:val="Standardnpsmoodstavce"/>
    <w:link w:val="FormtovanvHTML"/>
    <w:uiPriority w:val="99"/>
    <w:semiHidden/>
    <w:rsid w:val="00E835FD"/>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947026">
      <w:bodyDiv w:val="1"/>
      <w:marLeft w:val="0"/>
      <w:marRight w:val="0"/>
      <w:marTop w:val="0"/>
      <w:marBottom w:val="0"/>
      <w:divBdr>
        <w:top w:val="none" w:sz="0" w:space="0" w:color="auto"/>
        <w:left w:val="none" w:sz="0" w:space="0" w:color="auto"/>
        <w:bottom w:val="none" w:sz="0" w:space="0" w:color="auto"/>
        <w:right w:val="none" w:sz="0" w:space="0" w:color="auto"/>
      </w:divBdr>
    </w:div>
    <w:div w:id="188374246">
      <w:bodyDiv w:val="1"/>
      <w:marLeft w:val="0"/>
      <w:marRight w:val="0"/>
      <w:marTop w:val="0"/>
      <w:marBottom w:val="0"/>
      <w:divBdr>
        <w:top w:val="none" w:sz="0" w:space="0" w:color="auto"/>
        <w:left w:val="none" w:sz="0" w:space="0" w:color="auto"/>
        <w:bottom w:val="none" w:sz="0" w:space="0" w:color="auto"/>
        <w:right w:val="none" w:sz="0" w:space="0" w:color="auto"/>
      </w:divBdr>
    </w:div>
    <w:div w:id="211844151">
      <w:bodyDiv w:val="1"/>
      <w:marLeft w:val="0"/>
      <w:marRight w:val="0"/>
      <w:marTop w:val="0"/>
      <w:marBottom w:val="0"/>
      <w:divBdr>
        <w:top w:val="none" w:sz="0" w:space="0" w:color="auto"/>
        <w:left w:val="none" w:sz="0" w:space="0" w:color="auto"/>
        <w:bottom w:val="none" w:sz="0" w:space="0" w:color="auto"/>
        <w:right w:val="none" w:sz="0" w:space="0" w:color="auto"/>
      </w:divBdr>
    </w:div>
    <w:div w:id="256258528">
      <w:bodyDiv w:val="1"/>
      <w:marLeft w:val="0"/>
      <w:marRight w:val="0"/>
      <w:marTop w:val="0"/>
      <w:marBottom w:val="0"/>
      <w:divBdr>
        <w:top w:val="none" w:sz="0" w:space="0" w:color="auto"/>
        <w:left w:val="none" w:sz="0" w:space="0" w:color="auto"/>
        <w:bottom w:val="none" w:sz="0" w:space="0" w:color="auto"/>
        <w:right w:val="none" w:sz="0" w:space="0" w:color="auto"/>
      </w:divBdr>
    </w:div>
    <w:div w:id="422605052">
      <w:bodyDiv w:val="1"/>
      <w:marLeft w:val="0"/>
      <w:marRight w:val="0"/>
      <w:marTop w:val="0"/>
      <w:marBottom w:val="0"/>
      <w:divBdr>
        <w:top w:val="none" w:sz="0" w:space="0" w:color="auto"/>
        <w:left w:val="none" w:sz="0" w:space="0" w:color="auto"/>
        <w:bottom w:val="none" w:sz="0" w:space="0" w:color="auto"/>
        <w:right w:val="none" w:sz="0" w:space="0" w:color="auto"/>
      </w:divBdr>
    </w:div>
    <w:div w:id="524367675">
      <w:bodyDiv w:val="1"/>
      <w:marLeft w:val="0"/>
      <w:marRight w:val="0"/>
      <w:marTop w:val="0"/>
      <w:marBottom w:val="0"/>
      <w:divBdr>
        <w:top w:val="none" w:sz="0" w:space="0" w:color="auto"/>
        <w:left w:val="none" w:sz="0" w:space="0" w:color="auto"/>
        <w:bottom w:val="none" w:sz="0" w:space="0" w:color="auto"/>
        <w:right w:val="none" w:sz="0" w:space="0" w:color="auto"/>
      </w:divBdr>
    </w:div>
    <w:div w:id="637683494">
      <w:bodyDiv w:val="1"/>
      <w:marLeft w:val="0"/>
      <w:marRight w:val="0"/>
      <w:marTop w:val="0"/>
      <w:marBottom w:val="0"/>
      <w:divBdr>
        <w:top w:val="none" w:sz="0" w:space="0" w:color="auto"/>
        <w:left w:val="none" w:sz="0" w:space="0" w:color="auto"/>
        <w:bottom w:val="none" w:sz="0" w:space="0" w:color="auto"/>
        <w:right w:val="none" w:sz="0" w:space="0" w:color="auto"/>
      </w:divBdr>
    </w:div>
    <w:div w:id="1078795162">
      <w:bodyDiv w:val="1"/>
      <w:marLeft w:val="0"/>
      <w:marRight w:val="0"/>
      <w:marTop w:val="0"/>
      <w:marBottom w:val="0"/>
      <w:divBdr>
        <w:top w:val="none" w:sz="0" w:space="0" w:color="auto"/>
        <w:left w:val="none" w:sz="0" w:space="0" w:color="auto"/>
        <w:bottom w:val="none" w:sz="0" w:space="0" w:color="auto"/>
        <w:right w:val="none" w:sz="0" w:space="0" w:color="auto"/>
      </w:divBdr>
    </w:div>
    <w:div w:id="1189873642">
      <w:bodyDiv w:val="1"/>
      <w:marLeft w:val="0"/>
      <w:marRight w:val="0"/>
      <w:marTop w:val="0"/>
      <w:marBottom w:val="0"/>
      <w:divBdr>
        <w:top w:val="none" w:sz="0" w:space="0" w:color="auto"/>
        <w:left w:val="none" w:sz="0" w:space="0" w:color="auto"/>
        <w:bottom w:val="none" w:sz="0" w:space="0" w:color="auto"/>
        <w:right w:val="none" w:sz="0" w:space="0" w:color="auto"/>
      </w:divBdr>
      <w:divsChild>
        <w:div w:id="409277780">
          <w:marLeft w:val="0"/>
          <w:marRight w:val="0"/>
          <w:marTop w:val="0"/>
          <w:marBottom w:val="0"/>
          <w:divBdr>
            <w:top w:val="none" w:sz="0" w:space="0" w:color="auto"/>
            <w:left w:val="none" w:sz="0" w:space="0" w:color="auto"/>
            <w:bottom w:val="none" w:sz="0" w:space="0" w:color="auto"/>
            <w:right w:val="none" w:sz="0" w:space="0" w:color="auto"/>
          </w:divBdr>
        </w:div>
      </w:divsChild>
    </w:div>
    <w:div w:id="1338312760">
      <w:bodyDiv w:val="1"/>
      <w:marLeft w:val="0"/>
      <w:marRight w:val="0"/>
      <w:marTop w:val="0"/>
      <w:marBottom w:val="0"/>
      <w:divBdr>
        <w:top w:val="none" w:sz="0" w:space="0" w:color="auto"/>
        <w:left w:val="none" w:sz="0" w:space="0" w:color="auto"/>
        <w:bottom w:val="none" w:sz="0" w:space="0" w:color="auto"/>
        <w:right w:val="none" w:sz="0" w:space="0" w:color="auto"/>
      </w:divBdr>
    </w:div>
    <w:div w:id="1356614368">
      <w:bodyDiv w:val="1"/>
      <w:marLeft w:val="0"/>
      <w:marRight w:val="0"/>
      <w:marTop w:val="0"/>
      <w:marBottom w:val="0"/>
      <w:divBdr>
        <w:top w:val="none" w:sz="0" w:space="0" w:color="auto"/>
        <w:left w:val="none" w:sz="0" w:space="0" w:color="auto"/>
        <w:bottom w:val="none" w:sz="0" w:space="0" w:color="auto"/>
        <w:right w:val="none" w:sz="0" w:space="0" w:color="auto"/>
      </w:divBdr>
    </w:div>
    <w:div w:id="1602294614">
      <w:bodyDiv w:val="1"/>
      <w:marLeft w:val="0"/>
      <w:marRight w:val="0"/>
      <w:marTop w:val="0"/>
      <w:marBottom w:val="0"/>
      <w:divBdr>
        <w:top w:val="none" w:sz="0" w:space="0" w:color="auto"/>
        <w:left w:val="none" w:sz="0" w:space="0" w:color="auto"/>
        <w:bottom w:val="none" w:sz="0" w:space="0" w:color="auto"/>
        <w:right w:val="none" w:sz="0" w:space="0" w:color="auto"/>
      </w:divBdr>
    </w:div>
    <w:div w:id="1616789099">
      <w:bodyDiv w:val="1"/>
      <w:marLeft w:val="0"/>
      <w:marRight w:val="0"/>
      <w:marTop w:val="0"/>
      <w:marBottom w:val="0"/>
      <w:divBdr>
        <w:top w:val="none" w:sz="0" w:space="0" w:color="auto"/>
        <w:left w:val="none" w:sz="0" w:space="0" w:color="auto"/>
        <w:bottom w:val="none" w:sz="0" w:space="0" w:color="auto"/>
        <w:right w:val="none" w:sz="0" w:space="0" w:color="auto"/>
      </w:divBdr>
      <w:divsChild>
        <w:div w:id="311906849">
          <w:marLeft w:val="0"/>
          <w:marRight w:val="0"/>
          <w:marTop w:val="0"/>
          <w:marBottom w:val="0"/>
          <w:divBdr>
            <w:top w:val="none" w:sz="0" w:space="0" w:color="auto"/>
            <w:left w:val="none" w:sz="0" w:space="0" w:color="auto"/>
            <w:bottom w:val="none" w:sz="0" w:space="0" w:color="auto"/>
            <w:right w:val="none" w:sz="0" w:space="0" w:color="auto"/>
          </w:divBdr>
          <w:divsChild>
            <w:div w:id="1577277460">
              <w:marLeft w:val="0"/>
              <w:marRight w:val="0"/>
              <w:marTop w:val="0"/>
              <w:marBottom w:val="0"/>
              <w:divBdr>
                <w:top w:val="none" w:sz="0" w:space="0" w:color="auto"/>
                <w:left w:val="none" w:sz="0" w:space="0" w:color="auto"/>
                <w:bottom w:val="none" w:sz="0" w:space="0" w:color="auto"/>
                <w:right w:val="none" w:sz="0" w:space="0" w:color="auto"/>
              </w:divBdr>
              <w:divsChild>
                <w:div w:id="2049138110">
                  <w:marLeft w:val="0"/>
                  <w:marRight w:val="0"/>
                  <w:marTop w:val="0"/>
                  <w:marBottom w:val="0"/>
                  <w:divBdr>
                    <w:top w:val="none" w:sz="0" w:space="0" w:color="auto"/>
                    <w:left w:val="none" w:sz="0" w:space="0" w:color="auto"/>
                    <w:bottom w:val="none" w:sz="0" w:space="0" w:color="auto"/>
                    <w:right w:val="none" w:sz="0" w:space="0" w:color="auto"/>
                  </w:divBdr>
                  <w:divsChild>
                    <w:div w:id="76272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228446">
          <w:marLeft w:val="0"/>
          <w:marRight w:val="0"/>
          <w:marTop w:val="0"/>
          <w:marBottom w:val="0"/>
          <w:divBdr>
            <w:top w:val="none" w:sz="0" w:space="0" w:color="auto"/>
            <w:left w:val="none" w:sz="0" w:space="0" w:color="auto"/>
            <w:bottom w:val="none" w:sz="0" w:space="0" w:color="auto"/>
            <w:right w:val="none" w:sz="0" w:space="0" w:color="auto"/>
          </w:divBdr>
          <w:divsChild>
            <w:div w:id="915096184">
              <w:marLeft w:val="0"/>
              <w:marRight w:val="0"/>
              <w:marTop w:val="0"/>
              <w:marBottom w:val="0"/>
              <w:divBdr>
                <w:top w:val="none" w:sz="0" w:space="0" w:color="auto"/>
                <w:left w:val="none" w:sz="0" w:space="0" w:color="auto"/>
                <w:bottom w:val="none" w:sz="0" w:space="0" w:color="auto"/>
                <w:right w:val="none" w:sz="0" w:space="0" w:color="auto"/>
              </w:divBdr>
            </w:div>
          </w:divsChild>
        </w:div>
        <w:div w:id="1883666702">
          <w:marLeft w:val="0"/>
          <w:marRight w:val="0"/>
          <w:marTop w:val="0"/>
          <w:marBottom w:val="0"/>
          <w:divBdr>
            <w:top w:val="none" w:sz="0" w:space="0" w:color="auto"/>
            <w:left w:val="none" w:sz="0" w:space="0" w:color="auto"/>
            <w:bottom w:val="none" w:sz="0" w:space="0" w:color="auto"/>
            <w:right w:val="none" w:sz="0" w:space="0" w:color="auto"/>
          </w:divBdr>
          <w:divsChild>
            <w:div w:id="1478379508">
              <w:marLeft w:val="0"/>
              <w:marRight w:val="0"/>
              <w:marTop w:val="0"/>
              <w:marBottom w:val="0"/>
              <w:divBdr>
                <w:top w:val="none" w:sz="0" w:space="0" w:color="auto"/>
                <w:left w:val="none" w:sz="0" w:space="0" w:color="auto"/>
                <w:bottom w:val="none" w:sz="0" w:space="0" w:color="auto"/>
                <w:right w:val="none" w:sz="0" w:space="0" w:color="auto"/>
              </w:divBdr>
              <w:divsChild>
                <w:div w:id="10814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841294">
      <w:bodyDiv w:val="1"/>
      <w:marLeft w:val="0"/>
      <w:marRight w:val="0"/>
      <w:marTop w:val="0"/>
      <w:marBottom w:val="0"/>
      <w:divBdr>
        <w:top w:val="none" w:sz="0" w:space="0" w:color="auto"/>
        <w:left w:val="none" w:sz="0" w:space="0" w:color="auto"/>
        <w:bottom w:val="none" w:sz="0" w:space="0" w:color="auto"/>
        <w:right w:val="none" w:sz="0" w:space="0" w:color="auto"/>
      </w:divBdr>
    </w:div>
    <w:div w:id="1858082028">
      <w:bodyDiv w:val="1"/>
      <w:marLeft w:val="0"/>
      <w:marRight w:val="0"/>
      <w:marTop w:val="0"/>
      <w:marBottom w:val="0"/>
      <w:divBdr>
        <w:top w:val="none" w:sz="0" w:space="0" w:color="auto"/>
        <w:left w:val="none" w:sz="0" w:space="0" w:color="auto"/>
        <w:bottom w:val="none" w:sz="0" w:space="0" w:color="auto"/>
        <w:right w:val="none" w:sz="0" w:space="0" w:color="auto"/>
      </w:divBdr>
      <w:divsChild>
        <w:div w:id="2112163143">
          <w:marLeft w:val="0"/>
          <w:marRight w:val="0"/>
          <w:marTop w:val="0"/>
          <w:marBottom w:val="0"/>
          <w:divBdr>
            <w:top w:val="none" w:sz="0" w:space="0" w:color="auto"/>
            <w:left w:val="none" w:sz="0" w:space="0" w:color="auto"/>
            <w:bottom w:val="none" w:sz="0" w:space="0" w:color="auto"/>
            <w:right w:val="none" w:sz="0" w:space="0" w:color="auto"/>
          </w:divBdr>
        </w:div>
      </w:divsChild>
    </w:div>
    <w:div w:id="1971938855">
      <w:bodyDiv w:val="1"/>
      <w:marLeft w:val="0"/>
      <w:marRight w:val="0"/>
      <w:marTop w:val="0"/>
      <w:marBottom w:val="0"/>
      <w:divBdr>
        <w:top w:val="none" w:sz="0" w:space="0" w:color="auto"/>
        <w:left w:val="none" w:sz="0" w:space="0" w:color="auto"/>
        <w:bottom w:val="none" w:sz="0" w:space="0" w:color="auto"/>
        <w:right w:val="none" w:sz="0" w:space="0" w:color="auto"/>
      </w:divBdr>
      <w:divsChild>
        <w:div w:id="2116434878">
          <w:marLeft w:val="0"/>
          <w:marRight w:val="0"/>
          <w:marTop w:val="0"/>
          <w:marBottom w:val="0"/>
          <w:divBdr>
            <w:top w:val="none" w:sz="0" w:space="0" w:color="auto"/>
            <w:left w:val="none" w:sz="0" w:space="0" w:color="auto"/>
            <w:bottom w:val="none" w:sz="0" w:space="0" w:color="auto"/>
            <w:right w:val="none" w:sz="0" w:space="0" w:color="auto"/>
          </w:divBdr>
        </w:div>
      </w:divsChild>
    </w:div>
    <w:div w:id="2041003524">
      <w:bodyDiv w:val="1"/>
      <w:marLeft w:val="0"/>
      <w:marRight w:val="0"/>
      <w:marTop w:val="0"/>
      <w:marBottom w:val="0"/>
      <w:divBdr>
        <w:top w:val="none" w:sz="0" w:space="0" w:color="auto"/>
        <w:left w:val="none" w:sz="0" w:space="0" w:color="auto"/>
        <w:bottom w:val="none" w:sz="0" w:space="0" w:color="auto"/>
        <w:right w:val="none" w:sz="0" w:space="0" w:color="auto"/>
      </w:divBdr>
    </w:div>
    <w:div w:id="2058509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pova\Documents\Vlastn&#237;%20&#353;ablony%20Office\20220412_ColtCZ_Template_Word_Document.do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2AE97CC927BE49BBFF753670F4482E" ma:contentTypeVersion="14" ma:contentTypeDescription="Create a new document." ma:contentTypeScope="" ma:versionID="500cdd599de9e874676b0407826e403a">
  <xsd:schema xmlns:xsd="http://www.w3.org/2001/XMLSchema" xmlns:xs="http://www.w3.org/2001/XMLSchema" xmlns:p="http://schemas.microsoft.com/office/2006/metadata/properties" xmlns:ns2="2e7ba7d8-d2bd-49c3-8593-d45a1902f155" xmlns:ns3="25aff901-c235-4e17-b470-7a960e2f8555" targetNamespace="http://schemas.microsoft.com/office/2006/metadata/properties" ma:root="true" ma:fieldsID="e45c3883c8b994f5cbb33d2ce7838a4c" ns2:_="" ns3:_="">
    <xsd:import namespace="2e7ba7d8-d2bd-49c3-8593-d45a1902f155"/>
    <xsd:import namespace="25aff901-c235-4e17-b470-7a960e2f85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7ba7d8-d2bd-49c3-8593-d45a1902f1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aff901-c235-4e17-b470-7a960e2f855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customXml/itemProps2.xml><?xml version="1.0" encoding="utf-8"?>
<ds:datastoreItem xmlns:ds="http://schemas.openxmlformats.org/officeDocument/2006/customXml" ds:itemID="{D68D6A17-92B5-4040-9F9F-2CA300A7C5E7}">
  <ds:schemaRefs>
    <ds:schemaRef ds:uri="http://schemas.microsoft.com/sharepoint/v3/contenttype/forms"/>
  </ds:schemaRefs>
</ds:datastoreItem>
</file>

<file path=customXml/itemProps3.xml><?xml version="1.0" encoding="utf-8"?>
<ds:datastoreItem xmlns:ds="http://schemas.openxmlformats.org/officeDocument/2006/customXml" ds:itemID="{F29D3679-29C5-4729-9154-679B7BC6B8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7ba7d8-d2bd-49c3-8593-d45a1902f155"/>
    <ds:schemaRef ds:uri="25aff901-c235-4e17-b470-7a960e2f85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09AE86-708E-47FC-A0A6-266C56145D3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20220412_ColtCZ_Template_Word_Document</Template>
  <TotalTime>5</TotalTime>
  <Pages>6</Pages>
  <Words>1864</Words>
  <Characters>11002</Characters>
  <Application>Microsoft Office Word</Application>
  <DocSecurity>0</DocSecurity>
  <Lines>91</Lines>
  <Paragraphs>25</Paragraphs>
  <ScaleCrop>false</ScaleCrop>
  <Company/>
  <LinksUpToDate>false</LinksUpToDate>
  <CharactersWithSpaces>12841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Šípová</dc:creator>
  <cp:keywords/>
  <dc:description/>
  <cp:lastModifiedBy>Hronek Matěj</cp:lastModifiedBy>
  <cp:revision>16</cp:revision>
  <dcterms:created xsi:type="dcterms:W3CDTF">2024-11-18T18:47:00Z</dcterms:created>
  <dcterms:modified xsi:type="dcterms:W3CDTF">2024-11-21T05:55:00Z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0x010100112AE97CC927BE49BBFF753670F4482E</vt:lpwstr>
  </property>
</Properties>
</file>