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2DB8D0AF" w:rsidR="00BD3D9F" w:rsidRPr="0085055B" w:rsidRDefault="007D5CA4" w:rsidP="006570D5">
      <w:pPr>
        <w:spacing w:before="120" w:line="276" w:lineRule="auto"/>
        <w:jc w:val="right"/>
        <w:rPr>
          <w:rStyle w:val="Zdraznn"/>
          <w:szCs w:val="20"/>
          <w:lang w:val="en-US"/>
        </w:rPr>
      </w:pPr>
      <w:r>
        <w:rPr>
          <w:rStyle w:val="Zdraznn"/>
          <w:szCs w:val="20"/>
          <w:lang w:val="en-US"/>
        </w:rPr>
        <w:t>PRESS RELEASE</w:t>
      </w:r>
    </w:p>
    <w:p w14:paraId="7FE48F69" w14:textId="77777777" w:rsidR="00BD3D9F" w:rsidRPr="0085055B" w:rsidRDefault="00BD3D9F" w:rsidP="00BD3D9F">
      <w:pPr>
        <w:spacing w:before="120" w:line="276" w:lineRule="auto"/>
        <w:jc w:val="center"/>
        <w:rPr>
          <w:rFonts w:cs="Arial"/>
          <w:b/>
          <w:bCs/>
          <w:kern w:val="28"/>
          <w:szCs w:val="20"/>
          <w:lang w:val="en-US"/>
        </w:rPr>
      </w:pPr>
    </w:p>
    <w:p w14:paraId="4EA0AB1F" w14:textId="2A69CE4D" w:rsidR="008F385E" w:rsidRPr="0085055B" w:rsidRDefault="00BE7D56" w:rsidP="006570D5">
      <w:pPr>
        <w:spacing w:before="120" w:line="276" w:lineRule="auto"/>
        <w:jc w:val="center"/>
        <w:rPr>
          <w:rFonts w:cs="Arial"/>
          <w:b/>
          <w:bCs/>
          <w:kern w:val="28"/>
          <w:sz w:val="28"/>
          <w:szCs w:val="28"/>
          <w:lang w:val="en-US"/>
        </w:rPr>
      </w:pPr>
      <w:r w:rsidRPr="0085055B">
        <w:rPr>
          <w:rFonts w:cs="Arial"/>
          <w:b/>
          <w:bCs/>
          <w:kern w:val="28"/>
          <w:sz w:val="28"/>
          <w:szCs w:val="28"/>
          <w:lang w:val="en-US"/>
        </w:rPr>
        <w:t>Colt C</w:t>
      </w:r>
      <w:r w:rsidR="008B54FB" w:rsidRPr="0085055B">
        <w:rPr>
          <w:rFonts w:cs="Arial"/>
          <w:b/>
          <w:bCs/>
          <w:kern w:val="28"/>
          <w:sz w:val="28"/>
          <w:szCs w:val="28"/>
          <w:lang w:val="en-US"/>
        </w:rPr>
        <w:t>Z</w:t>
      </w:r>
      <w:r w:rsidR="00BD3D9F" w:rsidRPr="0085055B">
        <w:rPr>
          <w:rFonts w:cs="Arial"/>
          <w:b/>
          <w:bCs/>
          <w:kern w:val="28"/>
          <w:sz w:val="28"/>
          <w:szCs w:val="28"/>
          <w:lang w:val="en-US"/>
        </w:rPr>
        <w:t xml:space="preserve"> Group SE </w:t>
      </w:r>
      <w:r w:rsidR="00691078" w:rsidRPr="0085055B">
        <w:rPr>
          <w:rFonts w:cs="Arial"/>
          <w:b/>
          <w:bCs/>
          <w:kern w:val="28"/>
          <w:sz w:val="28"/>
          <w:szCs w:val="28"/>
          <w:lang w:val="en-US"/>
        </w:rPr>
        <w:t xml:space="preserve">increased its </w:t>
      </w:r>
      <w:r w:rsidR="004C4460" w:rsidRPr="0085055B">
        <w:rPr>
          <w:rFonts w:cs="Arial"/>
          <w:b/>
          <w:bCs/>
          <w:kern w:val="28"/>
          <w:sz w:val="28"/>
          <w:szCs w:val="28"/>
          <w:lang w:val="en-US"/>
        </w:rPr>
        <w:t>revenues</w:t>
      </w:r>
      <w:r w:rsidR="006570D5" w:rsidRPr="0085055B">
        <w:rPr>
          <w:rFonts w:cs="Arial"/>
          <w:b/>
          <w:bCs/>
          <w:kern w:val="28"/>
          <w:sz w:val="28"/>
          <w:szCs w:val="28"/>
          <w:lang w:val="en-US"/>
        </w:rPr>
        <w:t xml:space="preserve"> </w:t>
      </w:r>
      <w:r w:rsidR="00691078" w:rsidRPr="0085055B">
        <w:rPr>
          <w:rFonts w:cs="Arial"/>
          <w:b/>
          <w:bCs/>
          <w:kern w:val="28"/>
          <w:sz w:val="28"/>
          <w:szCs w:val="28"/>
          <w:lang w:val="en-US"/>
        </w:rPr>
        <w:t xml:space="preserve">by </w:t>
      </w:r>
      <w:r w:rsidR="004C4460" w:rsidRPr="0085055B">
        <w:rPr>
          <w:rFonts w:cs="Arial"/>
          <w:b/>
          <w:bCs/>
          <w:kern w:val="28"/>
          <w:sz w:val="28"/>
          <w:szCs w:val="28"/>
          <w:lang w:val="en-US"/>
        </w:rPr>
        <w:t>21.7</w:t>
      </w:r>
      <w:r w:rsidR="00691078" w:rsidRPr="0085055B">
        <w:rPr>
          <w:rFonts w:cs="Arial"/>
          <w:b/>
          <w:bCs/>
          <w:kern w:val="28"/>
          <w:sz w:val="28"/>
          <w:szCs w:val="28"/>
          <w:lang w:val="en-US"/>
        </w:rPr>
        <w:t xml:space="preserve">% </w:t>
      </w:r>
      <w:r w:rsidR="004C4460" w:rsidRPr="0085055B">
        <w:rPr>
          <w:rFonts w:cs="Arial"/>
          <w:b/>
          <w:bCs/>
          <w:kern w:val="28"/>
          <w:sz w:val="28"/>
          <w:szCs w:val="28"/>
          <w:lang w:val="en-US"/>
        </w:rPr>
        <w:br/>
      </w:r>
      <w:r w:rsidR="009F2C30" w:rsidRPr="0085055B">
        <w:rPr>
          <w:rFonts w:cs="Arial"/>
          <w:b/>
          <w:bCs/>
          <w:kern w:val="28"/>
          <w:sz w:val="28"/>
          <w:szCs w:val="28"/>
          <w:lang w:val="en-US"/>
        </w:rPr>
        <w:t xml:space="preserve">to CZK </w:t>
      </w:r>
      <w:r w:rsidR="004C4460" w:rsidRPr="0085055B">
        <w:rPr>
          <w:rFonts w:cs="Arial"/>
          <w:b/>
          <w:bCs/>
          <w:kern w:val="28"/>
          <w:sz w:val="28"/>
          <w:szCs w:val="28"/>
          <w:lang w:val="en-US"/>
        </w:rPr>
        <w:t>3.7 billion</w:t>
      </w:r>
      <w:r w:rsidR="009F2C30" w:rsidRPr="0085055B">
        <w:rPr>
          <w:rFonts w:cs="Arial"/>
          <w:b/>
          <w:bCs/>
          <w:kern w:val="28"/>
          <w:sz w:val="28"/>
          <w:szCs w:val="28"/>
          <w:lang w:val="en-US"/>
        </w:rPr>
        <w:t xml:space="preserve"> in the first quarter of 202</w:t>
      </w:r>
      <w:r w:rsidR="004C4460" w:rsidRPr="0085055B">
        <w:rPr>
          <w:rFonts w:cs="Arial"/>
          <w:b/>
          <w:bCs/>
          <w:kern w:val="28"/>
          <w:sz w:val="28"/>
          <w:szCs w:val="28"/>
          <w:lang w:val="en-US"/>
        </w:rPr>
        <w:t>4 and successfully closed the acquisition of Sellier &amp; Bellot</w:t>
      </w:r>
    </w:p>
    <w:p w14:paraId="5DA9DFBE" w14:textId="77777777" w:rsidR="006570D5" w:rsidRPr="0085055B" w:rsidRDefault="006570D5" w:rsidP="006570D5">
      <w:pPr>
        <w:spacing w:before="120" w:line="276" w:lineRule="auto"/>
        <w:jc w:val="center"/>
        <w:rPr>
          <w:rFonts w:cs="Calibri"/>
          <w:b/>
          <w:bCs/>
          <w:color w:val="000000" w:themeColor="text1"/>
          <w:szCs w:val="20"/>
          <w:lang w:val="en-US"/>
        </w:rPr>
      </w:pPr>
    </w:p>
    <w:p w14:paraId="4438D456" w14:textId="4D7BD2A2" w:rsidR="00BD3D9F" w:rsidRPr="0085055B" w:rsidRDefault="00616D6A" w:rsidP="00BD3D9F">
      <w:pPr>
        <w:autoSpaceDE w:val="0"/>
        <w:autoSpaceDN w:val="0"/>
        <w:adjustRightInd w:val="0"/>
        <w:spacing w:before="120" w:line="276" w:lineRule="auto"/>
        <w:rPr>
          <w:rFonts w:cs="Calibri"/>
          <w:color w:val="000000" w:themeColor="text1"/>
          <w:szCs w:val="20"/>
          <w:lang w:val="en-US"/>
        </w:rPr>
      </w:pPr>
      <w:r w:rsidRPr="0085055B">
        <w:rPr>
          <w:rFonts w:cs="Calibri"/>
          <w:b/>
          <w:bCs/>
          <w:color w:val="000000" w:themeColor="text1"/>
          <w:szCs w:val="20"/>
          <w:lang w:val="en-US"/>
        </w:rPr>
        <w:t>Prague</w:t>
      </w:r>
      <w:r w:rsidR="00BD3D9F" w:rsidRPr="0085055B">
        <w:rPr>
          <w:rFonts w:cs="Calibri"/>
          <w:b/>
          <w:bCs/>
          <w:color w:val="000000" w:themeColor="text1"/>
          <w:szCs w:val="20"/>
          <w:lang w:val="en-US"/>
        </w:rPr>
        <w:t xml:space="preserve"> (</w:t>
      </w:r>
      <w:r w:rsidRPr="0085055B">
        <w:rPr>
          <w:rFonts w:cs="Calibri"/>
          <w:b/>
          <w:bCs/>
          <w:color w:val="000000" w:themeColor="text1"/>
          <w:szCs w:val="20"/>
          <w:lang w:val="en-US"/>
        </w:rPr>
        <w:t>May</w:t>
      </w:r>
      <w:r w:rsidR="00DB71BE" w:rsidRPr="0085055B">
        <w:rPr>
          <w:rFonts w:cs="Calibri"/>
          <w:b/>
          <w:bCs/>
          <w:color w:val="000000" w:themeColor="text1"/>
          <w:szCs w:val="20"/>
          <w:lang w:val="en-US"/>
        </w:rPr>
        <w:t xml:space="preserve"> 2</w:t>
      </w:r>
      <w:r w:rsidR="004C4460" w:rsidRPr="0085055B">
        <w:rPr>
          <w:rFonts w:cs="Calibri"/>
          <w:b/>
          <w:bCs/>
          <w:color w:val="000000" w:themeColor="text1"/>
          <w:szCs w:val="20"/>
          <w:lang w:val="en-US"/>
        </w:rPr>
        <w:t>3</w:t>
      </w:r>
      <w:r w:rsidR="00934036" w:rsidRPr="0085055B">
        <w:rPr>
          <w:rFonts w:cs="Calibri"/>
          <w:b/>
          <w:bCs/>
          <w:color w:val="000000" w:themeColor="text1"/>
          <w:szCs w:val="20"/>
          <w:lang w:val="en-US"/>
        </w:rPr>
        <w:t>,</w:t>
      </w:r>
      <w:r w:rsidR="00BD3D9F" w:rsidRPr="0085055B">
        <w:rPr>
          <w:rFonts w:cs="Calibri"/>
          <w:b/>
          <w:bCs/>
          <w:color w:val="000000" w:themeColor="text1"/>
          <w:szCs w:val="20"/>
          <w:lang w:val="en-US"/>
        </w:rPr>
        <w:t xml:space="preserve"> 202</w:t>
      </w:r>
      <w:r w:rsidR="004C4460" w:rsidRPr="0085055B">
        <w:rPr>
          <w:rFonts w:cs="Calibri"/>
          <w:b/>
          <w:bCs/>
          <w:color w:val="000000" w:themeColor="text1"/>
          <w:szCs w:val="20"/>
          <w:lang w:val="en-US"/>
        </w:rPr>
        <w:t>4</w:t>
      </w:r>
      <w:r w:rsidR="00BD3D9F" w:rsidRPr="0085055B">
        <w:rPr>
          <w:rFonts w:cs="Calibri"/>
          <w:b/>
          <w:bCs/>
          <w:color w:val="000000" w:themeColor="text1"/>
          <w:szCs w:val="20"/>
          <w:lang w:val="en-US"/>
        </w:rPr>
        <w:t>)</w:t>
      </w:r>
      <w:r w:rsidR="00BD3D9F" w:rsidRPr="0085055B">
        <w:rPr>
          <w:rFonts w:cs="Calibri"/>
          <w:color w:val="000000" w:themeColor="text1"/>
          <w:szCs w:val="20"/>
          <w:lang w:val="en-US"/>
        </w:rPr>
        <w:t xml:space="preserve"> ―</w:t>
      </w:r>
      <w:r w:rsidR="005C5E6F" w:rsidRPr="0085055B">
        <w:rPr>
          <w:rFonts w:cs="Calibri"/>
          <w:color w:val="000000" w:themeColor="text1"/>
          <w:szCs w:val="20"/>
          <w:lang w:val="en-US"/>
        </w:rPr>
        <w:t xml:space="preserve"> </w:t>
      </w:r>
      <w:r w:rsidR="00BE7D56" w:rsidRPr="0085055B">
        <w:rPr>
          <w:rFonts w:cs="Calibri"/>
          <w:color w:val="000000" w:themeColor="text1"/>
          <w:szCs w:val="20"/>
          <w:lang w:val="en-US"/>
        </w:rPr>
        <w:t>Colt CZ</w:t>
      </w:r>
      <w:r w:rsidR="00BD3D9F" w:rsidRPr="0085055B">
        <w:rPr>
          <w:rFonts w:cs="Calibri"/>
          <w:color w:val="000000" w:themeColor="text1"/>
          <w:szCs w:val="20"/>
          <w:lang w:val="en-US"/>
        </w:rPr>
        <w:t xml:space="preserve"> Group SE (</w:t>
      </w:r>
      <w:r w:rsidR="00A90173" w:rsidRPr="0085055B">
        <w:rPr>
          <w:rFonts w:cs="Calibri"/>
          <w:color w:val="000000" w:themeColor="text1"/>
          <w:szCs w:val="20"/>
          <w:lang w:val="en-US"/>
        </w:rPr>
        <w:t>“</w:t>
      </w:r>
      <w:r w:rsidR="00BD3D9F" w:rsidRPr="0085055B">
        <w:rPr>
          <w:rFonts w:cs="Calibri"/>
          <w:color w:val="000000" w:themeColor="text1"/>
          <w:szCs w:val="20"/>
          <w:lang w:val="en-US"/>
        </w:rPr>
        <w:t>C</w:t>
      </w:r>
      <w:r w:rsidR="00BE7D56" w:rsidRPr="0085055B">
        <w:rPr>
          <w:rFonts w:cs="Calibri"/>
          <w:color w:val="000000" w:themeColor="text1"/>
          <w:szCs w:val="20"/>
          <w:lang w:val="en-US"/>
        </w:rPr>
        <w:t>olt</w:t>
      </w:r>
      <w:r w:rsidR="00C76BD8" w:rsidRPr="0085055B">
        <w:rPr>
          <w:rFonts w:cs="Calibri"/>
          <w:color w:val="000000" w:themeColor="text1"/>
          <w:szCs w:val="20"/>
          <w:lang w:val="en-US"/>
        </w:rPr>
        <w:t xml:space="preserve"> </w:t>
      </w:r>
      <w:r w:rsidR="00BE7D56" w:rsidRPr="0085055B">
        <w:rPr>
          <w:rFonts w:cs="Calibri"/>
          <w:color w:val="000000" w:themeColor="text1"/>
          <w:szCs w:val="20"/>
          <w:lang w:val="en-US"/>
        </w:rPr>
        <w:t>CZ</w:t>
      </w:r>
      <w:r w:rsidR="00DB71BE" w:rsidRPr="0085055B">
        <w:rPr>
          <w:rFonts w:cs="Calibri"/>
          <w:color w:val="000000" w:themeColor="text1"/>
          <w:szCs w:val="20"/>
          <w:lang w:val="en-US"/>
        </w:rPr>
        <w:t>”</w:t>
      </w:r>
      <w:r w:rsidR="00BD3D9F" w:rsidRPr="0085055B">
        <w:rPr>
          <w:rFonts w:cs="Calibri"/>
          <w:color w:val="000000" w:themeColor="text1"/>
          <w:szCs w:val="20"/>
          <w:lang w:val="en-US"/>
        </w:rPr>
        <w:t xml:space="preserve">, </w:t>
      </w:r>
      <w:r w:rsidR="00782435" w:rsidRPr="0085055B">
        <w:rPr>
          <w:rFonts w:cs="Calibri"/>
          <w:color w:val="000000" w:themeColor="text1"/>
          <w:szCs w:val="20"/>
          <w:lang w:val="en-US"/>
        </w:rPr>
        <w:t xml:space="preserve">the </w:t>
      </w:r>
      <w:r w:rsidR="00A90173" w:rsidRPr="0085055B">
        <w:rPr>
          <w:rFonts w:cs="Calibri"/>
          <w:color w:val="000000" w:themeColor="text1"/>
          <w:szCs w:val="20"/>
          <w:lang w:val="en-US"/>
        </w:rPr>
        <w:t>“</w:t>
      </w:r>
      <w:r w:rsidR="00782435" w:rsidRPr="0085055B">
        <w:rPr>
          <w:rFonts w:cs="Calibri"/>
          <w:color w:val="000000" w:themeColor="text1"/>
          <w:szCs w:val="20"/>
          <w:lang w:val="en-US"/>
        </w:rPr>
        <w:t>Group</w:t>
      </w:r>
      <w:r w:rsidR="00075BE6" w:rsidRPr="0085055B">
        <w:rPr>
          <w:rFonts w:cs="Calibri"/>
          <w:color w:val="000000" w:themeColor="text1"/>
          <w:szCs w:val="20"/>
          <w:lang w:val="en-US"/>
        </w:rPr>
        <w:t>”</w:t>
      </w:r>
      <w:r w:rsidR="00BD3D9F" w:rsidRPr="0085055B">
        <w:rPr>
          <w:rFonts w:cs="Calibri"/>
          <w:color w:val="000000" w:themeColor="text1"/>
          <w:szCs w:val="20"/>
          <w:lang w:val="en-US"/>
        </w:rPr>
        <w:t xml:space="preserve"> </w:t>
      </w:r>
      <w:r w:rsidR="00782435" w:rsidRPr="0085055B">
        <w:rPr>
          <w:rFonts w:cs="Calibri"/>
          <w:color w:val="000000" w:themeColor="text1"/>
          <w:szCs w:val="20"/>
          <w:lang w:val="en-US"/>
        </w:rPr>
        <w:t xml:space="preserve">or the </w:t>
      </w:r>
      <w:r w:rsidR="00A90173" w:rsidRPr="0085055B">
        <w:rPr>
          <w:rFonts w:cs="Calibri"/>
          <w:color w:val="000000" w:themeColor="text1"/>
          <w:szCs w:val="20"/>
          <w:lang w:val="en-US"/>
        </w:rPr>
        <w:t>“</w:t>
      </w:r>
      <w:r w:rsidR="00782435" w:rsidRPr="0085055B">
        <w:rPr>
          <w:rFonts w:cs="Calibri"/>
          <w:color w:val="000000" w:themeColor="text1"/>
          <w:szCs w:val="20"/>
          <w:lang w:val="en-US"/>
        </w:rPr>
        <w:t>Company</w:t>
      </w:r>
      <w:r w:rsidR="00BD3D9F" w:rsidRPr="0085055B">
        <w:rPr>
          <w:rFonts w:cs="Calibri"/>
          <w:color w:val="000000" w:themeColor="text1"/>
          <w:szCs w:val="20"/>
          <w:lang w:val="en-US"/>
        </w:rPr>
        <w:t xml:space="preserve">”) </w:t>
      </w:r>
      <w:r w:rsidR="00782435" w:rsidRPr="0085055B">
        <w:rPr>
          <w:rFonts w:cs="Calibri"/>
          <w:color w:val="000000" w:themeColor="text1"/>
          <w:szCs w:val="20"/>
          <w:lang w:val="en-US"/>
        </w:rPr>
        <w:t>today announced its consolidated unaudited financial results for the first three months of 202</w:t>
      </w:r>
      <w:r w:rsidR="004C4460" w:rsidRPr="0085055B">
        <w:rPr>
          <w:rFonts w:cs="Calibri"/>
          <w:color w:val="000000" w:themeColor="text1"/>
          <w:szCs w:val="20"/>
          <w:lang w:val="en-US"/>
        </w:rPr>
        <w:t>4</w:t>
      </w:r>
      <w:r w:rsidR="00782435" w:rsidRPr="0085055B">
        <w:rPr>
          <w:rFonts w:cs="Calibri"/>
          <w:color w:val="000000" w:themeColor="text1"/>
          <w:szCs w:val="20"/>
          <w:lang w:val="en-US"/>
        </w:rPr>
        <w:t xml:space="preserve"> ending March</w:t>
      </w:r>
      <w:r w:rsidR="008E3B36" w:rsidRPr="0085055B">
        <w:rPr>
          <w:rFonts w:cs="Calibri"/>
          <w:color w:val="000000" w:themeColor="text1"/>
          <w:szCs w:val="20"/>
          <w:lang w:val="en-US"/>
        </w:rPr>
        <w:t xml:space="preserve"> 31</w:t>
      </w:r>
      <w:r w:rsidR="00782435" w:rsidRPr="0085055B">
        <w:rPr>
          <w:rFonts w:cs="Calibri"/>
          <w:color w:val="000000" w:themeColor="text1"/>
          <w:szCs w:val="20"/>
          <w:lang w:val="en-US"/>
        </w:rPr>
        <w:t>.</w:t>
      </w:r>
    </w:p>
    <w:p w14:paraId="73BD1547" w14:textId="6BB97689" w:rsidR="00BD3D9F" w:rsidRPr="0085055B" w:rsidRDefault="00616D6A" w:rsidP="00BD3D9F">
      <w:pPr>
        <w:pStyle w:val="Nadpis11"/>
        <w:numPr>
          <w:ilvl w:val="0"/>
          <w:numId w:val="0"/>
        </w:numPr>
        <w:rPr>
          <w:lang w:val="en-US"/>
        </w:rPr>
      </w:pPr>
      <w:r w:rsidRPr="0085055B">
        <w:rPr>
          <w:lang w:val="en-US"/>
        </w:rPr>
        <w:t>Q1 202</w:t>
      </w:r>
      <w:r w:rsidR="004C4460" w:rsidRPr="0085055B">
        <w:rPr>
          <w:lang w:val="en-US"/>
        </w:rPr>
        <w:t>4</w:t>
      </w:r>
      <w:r w:rsidRPr="0085055B">
        <w:rPr>
          <w:lang w:val="en-US"/>
        </w:rPr>
        <w:t xml:space="preserve"> Financial Highlights</w:t>
      </w:r>
      <w:r w:rsidR="00BD3D9F" w:rsidRPr="0085055B">
        <w:rPr>
          <w:lang w:val="en-US"/>
        </w:rPr>
        <w:t>:</w:t>
      </w:r>
    </w:p>
    <w:p w14:paraId="37E62D3E" w14:textId="7B59350C" w:rsidR="00BD3D9F" w:rsidRPr="0085055B" w:rsidRDefault="00782435" w:rsidP="00137361">
      <w:pPr>
        <w:pStyle w:val="Odrazka1"/>
        <w:rPr>
          <w:rFonts w:eastAsia="Montserrat Light"/>
          <w:lang w:val="en-US"/>
        </w:rPr>
      </w:pPr>
      <w:r w:rsidRPr="0085055B">
        <w:rPr>
          <w:rFonts w:eastAsia="Montserrat Light"/>
          <w:lang w:val="en-US"/>
        </w:rPr>
        <w:t>The Group’s revenues in the first three months of 202</w:t>
      </w:r>
      <w:r w:rsidR="004C4460" w:rsidRPr="0085055B">
        <w:rPr>
          <w:rFonts w:eastAsia="Montserrat Light"/>
          <w:lang w:val="en-US"/>
        </w:rPr>
        <w:t>4</w:t>
      </w:r>
      <w:r w:rsidRPr="0085055B">
        <w:rPr>
          <w:rFonts w:eastAsia="Montserrat Light"/>
          <w:lang w:val="en-US"/>
        </w:rPr>
        <w:t xml:space="preserve"> amounted to CZK </w:t>
      </w:r>
      <w:r w:rsidR="004C4460" w:rsidRPr="0085055B">
        <w:rPr>
          <w:rFonts w:eastAsia="Montserrat Light"/>
          <w:lang w:val="en-US"/>
        </w:rPr>
        <w:t>3,667.1</w:t>
      </w:r>
      <w:r w:rsidR="00946042" w:rsidRPr="0085055B">
        <w:rPr>
          <w:rFonts w:eastAsia="Montserrat Light"/>
          <w:lang w:val="en-US"/>
        </w:rPr>
        <w:t xml:space="preserve"> </w:t>
      </w:r>
      <w:r w:rsidR="004C4460" w:rsidRPr="0085055B">
        <w:rPr>
          <w:rFonts w:eastAsia="Montserrat Light"/>
          <w:lang w:val="en-US"/>
        </w:rPr>
        <w:t>million</w:t>
      </w:r>
      <w:r w:rsidRPr="0085055B">
        <w:rPr>
          <w:rFonts w:eastAsia="Montserrat Light"/>
          <w:lang w:val="en-US"/>
        </w:rPr>
        <w:t xml:space="preserve">, </w:t>
      </w:r>
      <w:r w:rsidR="004C4460" w:rsidRPr="0085055B">
        <w:rPr>
          <w:rFonts w:eastAsia="Montserrat Light"/>
          <w:lang w:val="en-US"/>
        </w:rPr>
        <w:t>up</w:t>
      </w:r>
      <w:r w:rsidRPr="0085055B">
        <w:rPr>
          <w:rFonts w:eastAsia="Montserrat Light"/>
          <w:lang w:val="en-US"/>
        </w:rPr>
        <w:t xml:space="preserve"> by </w:t>
      </w:r>
      <w:r w:rsidR="004C4460" w:rsidRPr="0085055B">
        <w:rPr>
          <w:rFonts w:eastAsia="Montserrat Light"/>
          <w:lang w:val="en-US"/>
        </w:rPr>
        <w:t>21.7</w:t>
      </w:r>
      <w:r w:rsidRPr="0085055B">
        <w:rPr>
          <w:rFonts w:eastAsia="Montserrat Light"/>
          <w:lang w:val="en-US"/>
        </w:rPr>
        <w:t>% y-o-y</w:t>
      </w:r>
      <w:r w:rsidR="004C4460" w:rsidRPr="0085055B">
        <w:rPr>
          <w:rFonts w:eastAsia="Montserrat Light"/>
          <w:lang w:val="en-US"/>
        </w:rPr>
        <w:t>.</w:t>
      </w:r>
      <w:r w:rsidRPr="0085055B">
        <w:rPr>
          <w:rFonts w:eastAsia="Montserrat Light"/>
          <w:lang w:val="en-US"/>
        </w:rPr>
        <w:t xml:space="preserve"> </w:t>
      </w:r>
      <w:r w:rsidR="004C4460" w:rsidRPr="0085055B">
        <w:rPr>
          <w:rFonts w:eastAsia="Montserrat Light"/>
          <w:lang w:val="en-US"/>
        </w:rPr>
        <w:t>Higher sales were recorded mainly in the military and law enforcement segment</w:t>
      </w:r>
      <w:r w:rsidR="00185223" w:rsidRPr="0085055B">
        <w:rPr>
          <w:rFonts w:eastAsia="Montserrat Light"/>
          <w:lang w:val="en-US"/>
        </w:rPr>
        <w:t>,</w:t>
      </w:r>
      <w:r w:rsidR="004C4460" w:rsidRPr="0085055B">
        <w:rPr>
          <w:rFonts w:eastAsia="Montserrat Light"/>
          <w:lang w:val="en-US"/>
        </w:rPr>
        <w:t xml:space="preserve"> </w:t>
      </w:r>
      <w:r w:rsidR="00193EE8" w:rsidRPr="0085055B">
        <w:rPr>
          <w:rFonts w:eastAsia="Montserrat Light"/>
          <w:lang w:val="en-US"/>
        </w:rPr>
        <w:t>but also</w:t>
      </w:r>
      <w:r w:rsidR="004C4460" w:rsidRPr="0085055B">
        <w:rPr>
          <w:rFonts w:eastAsia="Montserrat Light"/>
          <w:lang w:val="en-US"/>
        </w:rPr>
        <w:t xml:space="preserve"> in the commercial segment and in all reported regions except Africa.</w:t>
      </w:r>
    </w:p>
    <w:p w14:paraId="14628575" w14:textId="2036D7C4" w:rsidR="00BD3D9F" w:rsidRPr="0085055B" w:rsidRDefault="00BA5713" w:rsidP="00BD3D9F">
      <w:pPr>
        <w:pStyle w:val="Odrazka1"/>
        <w:rPr>
          <w:rFonts w:eastAsia="Montserrat Light"/>
          <w:lang w:val="en-US"/>
        </w:rPr>
      </w:pPr>
      <w:r w:rsidRPr="0085055B">
        <w:rPr>
          <w:w w:val="0"/>
          <w:lang w:val="en-US"/>
        </w:rPr>
        <w:t xml:space="preserve">Adjusted </w:t>
      </w:r>
      <w:r w:rsidR="00BD3D9F" w:rsidRPr="0085055B">
        <w:rPr>
          <w:w w:val="0"/>
          <w:lang w:val="en-US"/>
        </w:rPr>
        <w:t xml:space="preserve">EBITDA </w:t>
      </w:r>
      <w:r w:rsidR="004C4460" w:rsidRPr="0085055B">
        <w:rPr>
          <w:w w:val="0"/>
          <w:lang w:val="en-US"/>
        </w:rPr>
        <w:t xml:space="preserve">net of one-off items </w:t>
      </w:r>
      <w:r w:rsidR="00782435" w:rsidRPr="0085055B">
        <w:rPr>
          <w:lang w:val="en-US"/>
        </w:rPr>
        <w:t xml:space="preserve">reached CZK </w:t>
      </w:r>
      <w:r w:rsidR="004C4460" w:rsidRPr="0085055B">
        <w:rPr>
          <w:lang w:val="en-US"/>
        </w:rPr>
        <w:t>488.4</w:t>
      </w:r>
      <w:r w:rsidR="00946042" w:rsidRPr="0085055B">
        <w:rPr>
          <w:lang w:val="en-US"/>
        </w:rPr>
        <w:t xml:space="preserve"> </w:t>
      </w:r>
      <w:r w:rsidR="00782435" w:rsidRPr="0085055B">
        <w:rPr>
          <w:lang w:val="en-US"/>
        </w:rPr>
        <w:t xml:space="preserve">million, </w:t>
      </w:r>
      <w:r w:rsidR="00946042" w:rsidRPr="0085055B">
        <w:rPr>
          <w:lang w:val="en-US"/>
        </w:rPr>
        <w:t>down</w:t>
      </w:r>
      <w:r w:rsidR="00782435" w:rsidRPr="0085055B">
        <w:rPr>
          <w:lang w:val="en-US"/>
        </w:rPr>
        <w:t xml:space="preserve"> by </w:t>
      </w:r>
      <w:r w:rsidRPr="0085055B">
        <w:rPr>
          <w:lang w:val="en-US"/>
        </w:rPr>
        <w:t>28.</w:t>
      </w:r>
      <w:r w:rsidR="004C4460" w:rsidRPr="0085055B">
        <w:rPr>
          <w:lang w:val="en-US"/>
        </w:rPr>
        <w:t>5</w:t>
      </w:r>
      <w:r w:rsidR="00782435" w:rsidRPr="0085055B">
        <w:rPr>
          <w:lang w:val="en-US"/>
        </w:rPr>
        <w:t>% y-o-y for the first quarter</w:t>
      </w:r>
      <w:r w:rsidR="0059427F" w:rsidRPr="0085055B">
        <w:rPr>
          <w:lang w:val="en-US"/>
        </w:rPr>
        <w:t xml:space="preserve"> </w:t>
      </w:r>
      <w:r w:rsidR="00782435" w:rsidRPr="0085055B">
        <w:rPr>
          <w:lang w:val="en-US"/>
        </w:rPr>
        <w:t>of 202</w:t>
      </w:r>
      <w:r w:rsidR="004C4460" w:rsidRPr="0085055B">
        <w:rPr>
          <w:lang w:val="en-US"/>
        </w:rPr>
        <w:t>4</w:t>
      </w:r>
      <w:r w:rsidR="004C4460" w:rsidRPr="0085055B">
        <w:rPr>
          <w:rStyle w:val="Znakapoznpodarou"/>
          <w:lang w:val="en-US"/>
        </w:rPr>
        <w:footnoteReference w:id="1"/>
      </w:r>
      <w:r w:rsidR="00FD51E6" w:rsidRPr="0085055B">
        <w:rPr>
          <w:lang w:val="en-US"/>
        </w:rPr>
        <w:t>.</w:t>
      </w:r>
      <w:r w:rsidR="004C4460" w:rsidRPr="0085055B">
        <w:rPr>
          <w:lang w:val="en-US"/>
        </w:rPr>
        <w:t xml:space="preserve"> The decline of EBITDA </w:t>
      </w:r>
      <w:r w:rsidR="0042634E">
        <w:rPr>
          <w:lang w:val="en-US"/>
        </w:rPr>
        <w:t>is primarily related</w:t>
      </w:r>
      <w:r w:rsidR="004C4460" w:rsidRPr="0085055B">
        <w:rPr>
          <w:lang w:val="en-US"/>
        </w:rPr>
        <w:t xml:space="preserve"> </w:t>
      </w:r>
      <w:r w:rsidR="0042634E">
        <w:rPr>
          <w:lang w:val="en-US"/>
        </w:rPr>
        <w:t xml:space="preserve">to one-offs </w:t>
      </w:r>
      <w:r w:rsidR="00680931">
        <w:rPr>
          <w:lang w:val="en-US"/>
        </w:rPr>
        <w:t>–</w:t>
      </w:r>
      <w:r w:rsidR="0042634E">
        <w:rPr>
          <w:lang w:val="en-US"/>
        </w:rPr>
        <w:t xml:space="preserve"> to both </w:t>
      </w:r>
      <w:r w:rsidR="004C4460" w:rsidRPr="0085055B">
        <w:rPr>
          <w:lang w:val="en-US"/>
        </w:rPr>
        <w:t>higher costs of marketing campaigns for the sales support in the US commercial market</w:t>
      </w:r>
      <w:r w:rsidR="0042634E">
        <w:rPr>
          <w:lang w:val="en-US"/>
        </w:rPr>
        <w:t xml:space="preserve">, the delayed ramp-up of some of the new products and </w:t>
      </w:r>
      <w:r w:rsidR="004C4460" w:rsidRPr="0085055B">
        <w:rPr>
          <w:lang w:val="en-US"/>
        </w:rPr>
        <w:t xml:space="preserve">higher operational costs for </w:t>
      </w:r>
      <w:r w:rsidR="00185223" w:rsidRPr="0085055B">
        <w:rPr>
          <w:lang w:val="en-US"/>
        </w:rPr>
        <w:t xml:space="preserve">the </w:t>
      </w:r>
      <w:r w:rsidR="004C4460" w:rsidRPr="0085055B">
        <w:rPr>
          <w:lang w:val="en-US"/>
        </w:rPr>
        <w:t>development of the Swiss ammunition producers swissAA</w:t>
      </w:r>
      <w:r w:rsidR="00185223" w:rsidRPr="0085055B">
        <w:rPr>
          <w:lang w:val="en-US"/>
        </w:rPr>
        <w:t>,</w:t>
      </w:r>
      <w:r w:rsidR="004C4460" w:rsidRPr="0085055B">
        <w:rPr>
          <w:lang w:val="en-US"/>
        </w:rPr>
        <w:t xml:space="preserve"> </w:t>
      </w:r>
      <w:r w:rsidR="00CD1D91">
        <w:rPr>
          <w:lang w:val="en-US"/>
        </w:rPr>
        <w:t>as well as</w:t>
      </w:r>
      <w:r w:rsidR="00CD1D91" w:rsidRPr="0085055B">
        <w:rPr>
          <w:lang w:val="en-US"/>
        </w:rPr>
        <w:t xml:space="preserve"> </w:t>
      </w:r>
      <w:r w:rsidR="004C4460" w:rsidRPr="0085055B">
        <w:rPr>
          <w:lang w:val="en-US"/>
        </w:rPr>
        <w:t>quarterly seasonality of sales.</w:t>
      </w:r>
    </w:p>
    <w:p w14:paraId="3EEB8073" w14:textId="23BCC064" w:rsidR="00137361" w:rsidRPr="0085055B" w:rsidRDefault="004C4460" w:rsidP="00137361">
      <w:pPr>
        <w:pStyle w:val="Odrazka1"/>
        <w:rPr>
          <w:rFonts w:eastAsia="Montserrat Light"/>
          <w:lang w:val="en-US"/>
        </w:rPr>
      </w:pPr>
      <w:r w:rsidRPr="0085055B">
        <w:rPr>
          <w:rFonts w:eastAsia="Montserrat Light"/>
          <w:lang w:val="en-US"/>
        </w:rPr>
        <w:t>Adjusted n</w:t>
      </w:r>
      <w:r w:rsidR="00137361" w:rsidRPr="0085055B">
        <w:rPr>
          <w:rFonts w:eastAsia="Montserrat Light"/>
          <w:lang w:val="en-US"/>
        </w:rPr>
        <w:t xml:space="preserve">et profit for the first three </w:t>
      </w:r>
      <w:r w:rsidR="0059427F" w:rsidRPr="0085055B">
        <w:rPr>
          <w:rFonts w:eastAsia="Montserrat Light"/>
          <w:lang w:val="en-US"/>
        </w:rPr>
        <w:t>months</w:t>
      </w:r>
      <w:r w:rsidR="00137361" w:rsidRPr="0085055B">
        <w:rPr>
          <w:rFonts w:eastAsia="Montserrat Light"/>
          <w:lang w:val="en-US"/>
        </w:rPr>
        <w:t xml:space="preserve"> of 202</w:t>
      </w:r>
      <w:r w:rsidRPr="0085055B">
        <w:rPr>
          <w:rFonts w:eastAsia="Montserrat Light"/>
          <w:lang w:val="en-US"/>
        </w:rPr>
        <w:t>4</w:t>
      </w:r>
      <w:r w:rsidR="00137361" w:rsidRPr="0085055B">
        <w:rPr>
          <w:rFonts w:eastAsia="Montserrat Light"/>
          <w:lang w:val="en-US"/>
        </w:rPr>
        <w:t xml:space="preserve"> reached CZK </w:t>
      </w:r>
      <w:r w:rsidRPr="0085055B">
        <w:rPr>
          <w:rFonts w:eastAsia="Montserrat Light"/>
          <w:lang w:val="en-US"/>
        </w:rPr>
        <w:t>359.9</w:t>
      </w:r>
      <w:r w:rsidR="00137361" w:rsidRPr="0085055B">
        <w:rPr>
          <w:rFonts w:eastAsia="Montserrat Light"/>
          <w:lang w:val="en-US"/>
        </w:rPr>
        <w:t xml:space="preserve"> million, which is </w:t>
      </w:r>
      <w:r w:rsidRPr="0085055B">
        <w:rPr>
          <w:rFonts w:eastAsia="Montserrat Light"/>
          <w:lang w:val="en-US"/>
        </w:rPr>
        <w:t>47.8</w:t>
      </w:r>
      <w:r w:rsidR="00137361" w:rsidRPr="0085055B">
        <w:rPr>
          <w:rFonts w:eastAsia="Montserrat Light"/>
          <w:lang w:val="en-US"/>
        </w:rPr>
        <w:t xml:space="preserve">% </w:t>
      </w:r>
      <w:r w:rsidRPr="0085055B">
        <w:rPr>
          <w:rFonts w:eastAsia="Montserrat Light"/>
          <w:lang w:val="en-US"/>
        </w:rPr>
        <w:t>less</w:t>
      </w:r>
      <w:r w:rsidR="00137361" w:rsidRPr="0085055B">
        <w:rPr>
          <w:rFonts w:eastAsia="Montserrat Light"/>
          <w:lang w:val="en-US"/>
        </w:rPr>
        <w:t xml:space="preserve"> </w:t>
      </w:r>
      <w:r w:rsidR="00E443C0">
        <w:rPr>
          <w:rFonts w:eastAsia="Montserrat Light"/>
          <w:lang w:val="en-US"/>
        </w:rPr>
        <w:t>in comparison with</w:t>
      </w:r>
      <w:r w:rsidR="00137361" w:rsidRPr="0085055B">
        <w:rPr>
          <w:rFonts w:eastAsia="Montserrat Light"/>
          <w:lang w:val="en-US"/>
        </w:rPr>
        <w:t xml:space="preserve"> the same period in 202</w:t>
      </w:r>
      <w:r w:rsidRPr="0085055B">
        <w:rPr>
          <w:rFonts w:eastAsia="Montserrat Light"/>
          <w:lang w:val="en-US"/>
        </w:rPr>
        <w:t xml:space="preserve">3. The decline was impacted by lower operating margins </w:t>
      </w:r>
      <w:r w:rsidR="005877B2" w:rsidRPr="0085055B">
        <w:rPr>
          <w:rFonts w:eastAsia="Montserrat Light"/>
          <w:lang w:val="en-US"/>
        </w:rPr>
        <w:t>and</w:t>
      </w:r>
      <w:r w:rsidRPr="0085055B">
        <w:rPr>
          <w:rFonts w:eastAsia="Montserrat Light"/>
          <w:lang w:val="en-US"/>
        </w:rPr>
        <w:t xml:space="preserve"> by the decrease of </w:t>
      </w:r>
      <w:r w:rsidR="00185223" w:rsidRPr="0085055B">
        <w:rPr>
          <w:rFonts w:eastAsia="Montserrat Light"/>
          <w:lang w:val="en-US"/>
        </w:rPr>
        <w:t xml:space="preserve">the </w:t>
      </w:r>
      <w:r w:rsidR="0030624C" w:rsidRPr="0085055B">
        <w:rPr>
          <w:rFonts w:eastAsia="Montserrat Light"/>
          <w:lang w:val="en-US"/>
        </w:rPr>
        <w:t>result from financial operations</w:t>
      </w:r>
      <w:r w:rsidR="00FD51E6" w:rsidRPr="0085055B">
        <w:rPr>
          <w:rFonts w:eastAsia="Montserrat Light"/>
          <w:lang w:val="en-US"/>
        </w:rPr>
        <w:t xml:space="preserve"> </w:t>
      </w:r>
      <w:r w:rsidR="005877B2" w:rsidRPr="0085055B">
        <w:rPr>
          <w:rFonts w:eastAsia="Montserrat Light"/>
          <w:lang w:val="en-US"/>
        </w:rPr>
        <w:t>on</w:t>
      </w:r>
      <w:r w:rsidR="00FD51E6" w:rsidRPr="0085055B">
        <w:rPr>
          <w:rFonts w:eastAsia="Montserrat Light"/>
          <w:lang w:val="en-US"/>
        </w:rPr>
        <w:t xml:space="preserve"> the back of the </w:t>
      </w:r>
      <w:r w:rsidR="00AA1109" w:rsidRPr="0085055B">
        <w:rPr>
          <w:rFonts w:eastAsia="Montserrat Light"/>
          <w:lang w:val="en-US"/>
        </w:rPr>
        <w:t xml:space="preserve">exchange rate </w:t>
      </w:r>
      <w:r w:rsidR="005877B2" w:rsidRPr="0085055B">
        <w:rPr>
          <w:rFonts w:eastAsia="Montserrat Light"/>
          <w:lang w:val="en-US"/>
        </w:rPr>
        <w:t>development</w:t>
      </w:r>
      <w:r w:rsidR="0030624C" w:rsidRPr="0085055B">
        <w:rPr>
          <w:rFonts w:eastAsia="Montserrat Light"/>
          <w:lang w:val="en-US"/>
        </w:rPr>
        <w:t>.</w:t>
      </w:r>
      <w:r w:rsidR="00137361" w:rsidRPr="0085055B">
        <w:rPr>
          <w:rFonts w:eastAsia="Montserrat Light"/>
          <w:lang w:val="en-US"/>
        </w:rPr>
        <w:t xml:space="preserve"> </w:t>
      </w:r>
    </w:p>
    <w:p w14:paraId="41E32C51" w14:textId="2D9287C6" w:rsidR="00BD3D9F" w:rsidRPr="0085055B" w:rsidRDefault="00137361" w:rsidP="00FD3306">
      <w:pPr>
        <w:pStyle w:val="Odrazka1"/>
        <w:ind w:left="993" w:hanging="426"/>
        <w:rPr>
          <w:rFonts w:eastAsia="Montserrat Light"/>
          <w:lang w:val="en-US"/>
        </w:rPr>
      </w:pPr>
      <w:r w:rsidRPr="0085055B">
        <w:rPr>
          <w:rFonts w:eastAsia="Montserrat Light"/>
          <w:lang w:val="en-US"/>
        </w:rPr>
        <w:t>The number of firearms sold in the first quarter of 202</w:t>
      </w:r>
      <w:r w:rsidR="005877B2" w:rsidRPr="0085055B">
        <w:rPr>
          <w:rFonts w:eastAsia="Montserrat Light"/>
          <w:lang w:val="en-US"/>
        </w:rPr>
        <w:t>4</w:t>
      </w:r>
      <w:r w:rsidRPr="0085055B">
        <w:rPr>
          <w:rFonts w:eastAsia="Montserrat Light"/>
          <w:lang w:val="en-US"/>
        </w:rPr>
        <w:t xml:space="preserve"> </w:t>
      </w:r>
      <w:r w:rsidR="0030624C" w:rsidRPr="0085055B">
        <w:rPr>
          <w:rFonts w:eastAsia="Montserrat Light"/>
          <w:lang w:val="en-US"/>
        </w:rPr>
        <w:t>declined</w:t>
      </w:r>
      <w:r w:rsidRPr="0085055B">
        <w:rPr>
          <w:rFonts w:eastAsia="Montserrat Light"/>
          <w:lang w:val="en-US"/>
        </w:rPr>
        <w:t xml:space="preserve"> </w:t>
      </w:r>
      <w:r w:rsidR="00185223" w:rsidRPr="0085055B">
        <w:rPr>
          <w:rFonts w:eastAsia="Montserrat Light"/>
          <w:lang w:val="en-US"/>
        </w:rPr>
        <w:t xml:space="preserve">moderately </w:t>
      </w:r>
      <w:r w:rsidRPr="0085055B">
        <w:rPr>
          <w:rFonts w:eastAsia="Montserrat Light"/>
          <w:lang w:val="en-US"/>
        </w:rPr>
        <w:t xml:space="preserve">by </w:t>
      </w:r>
      <w:r w:rsidR="005877B2" w:rsidRPr="0085055B">
        <w:rPr>
          <w:rFonts w:eastAsia="Montserrat Light"/>
          <w:lang w:val="en-US"/>
        </w:rPr>
        <w:t>5.5</w:t>
      </w:r>
      <w:r w:rsidRPr="0085055B">
        <w:rPr>
          <w:rFonts w:eastAsia="Montserrat Light"/>
          <w:lang w:val="en-US"/>
        </w:rPr>
        <w:t xml:space="preserve">% </w:t>
      </w:r>
      <w:r w:rsidR="00E443C0">
        <w:rPr>
          <w:rFonts w:eastAsia="Montserrat Light"/>
          <w:lang w:val="en-US"/>
        </w:rPr>
        <w:t>in comparison with</w:t>
      </w:r>
      <w:r w:rsidRPr="0085055B">
        <w:rPr>
          <w:rFonts w:eastAsia="Montserrat Light"/>
          <w:lang w:val="en-US"/>
        </w:rPr>
        <w:t xml:space="preserve"> the same period in 202</w:t>
      </w:r>
      <w:r w:rsidR="005877B2" w:rsidRPr="0085055B">
        <w:rPr>
          <w:rFonts w:eastAsia="Montserrat Light"/>
          <w:lang w:val="en-US"/>
        </w:rPr>
        <w:t>3</w:t>
      </w:r>
      <w:r w:rsidR="0030624C" w:rsidRPr="0085055B">
        <w:rPr>
          <w:rFonts w:eastAsia="Montserrat Light"/>
          <w:lang w:val="en-US"/>
        </w:rPr>
        <w:t xml:space="preserve"> and reached</w:t>
      </w:r>
      <w:r w:rsidRPr="0085055B">
        <w:rPr>
          <w:rFonts w:eastAsia="Montserrat Light"/>
          <w:lang w:val="en-US"/>
        </w:rPr>
        <w:t xml:space="preserve"> </w:t>
      </w:r>
      <w:r w:rsidR="005877B2" w:rsidRPr="0085055B">
        <w:rPr>
          <w:rFonts w:eastAsia="Montserrat Light"/>
          <w:lang w:val="en-US"/>
        </w:rPr>
        <w:t>140 thousand</w:t>
      </w:r>
      <w:r w:rsidRPr="0085055B">
        <w:rPr>
          <w:rFonts w:eastAsia="Montserrat Light"/>
          <w:lang w:val="en-US"/>
        </w:rPr>
        <w:t xml:space="preserve"> units sold</w:t>
      </w:r>
      <w:r w:rsidR="00185223" w:rsidRPr="0085055B">
        <w:rPr>
          <w:rFonts w:eastAsia="Montserrat Light"/>
          <w:lang w:val="en-US"/>
        </w:rPr>
        <w:t>,</w:t>
      </w:r>
      <w:r w:rsidR="005877B2" w:rsidRPr="0085055B">
        <w:rPr>
          <w:rFonts w:eastAsia="Montserrat Light"/>
          <w:lang w:val="en-US"/>
        </w:rPr>
        <w:t xml:space="preserve"> driven by higher sales of long firearms</w:t>
      </w:r>
      <w:r w:rsidR="00185223" w:rsidRPr="0085055B">
        <w:rPr>
          <w:rFonts w:eastAsia="Montserrat Light"/>
          <w:lang w:val="en-US"/>
        </w:rPr>
        <w:t>,</w:t>
      </w:r>
      <w:r w:rsidR="005877B2" w:rsidRPr="0085055B">
        <w:rPr>
          <w:rFonts w:eastAsia="Montserrat Light"/>
          <w:lang w:val="en-US"/>
        </w:rPr>
        <w:t xml:space="preserve"> while the sales of handguns went down</w:t>
      </w:r>
      <w:r w:rsidRPr="0085055B">
        <w:rPr>
          <w:rFonts w:eastAsia="Montserrat Light"/>
          <w:lang w:val="en-US"/>
        </w:rPr>
        <w:t>.</w:t>
      </w:r>
    </w:p>
    <w:p w14:paraId="2F78333C" w14:textId="29BD6F1B" w:rsidR="005877B2" w:rsidRPr="0085055B" w:rsidRDefault="005877B2" w:rsidP="00FD3306">
      <w:pPr>
        <w:pStyle w:val="Odrazka1"/>
        <w:ind w:left="993" w:hanging="426"/>
        <w:rPr>
          <w:rFonts w:eastAsia="Montserrat Light"/>
          <w:lang w:val="en-US"/>
        </w:rPr>
      </w:pPr>
      <w:r w:rsidRPr="0085055B">
        <w:rPr>
          <w:rFonts w:eastAsia="Montserrat Light"/>
          <w:lang w:val="en-US"/>
        </w:rPr>
        <w:t>On May 16, 2024, the Company closed the acquisition of the small-caliber ammunition producer Sellier &amp; Bellot for the purchase of price of USD 703 million and issued new shares.</w:t>
      </w:r>
    </w:p>
    <w:p w14:paraId="3C5DA564" w14:textId="3CA25540" w:rsidR="00463068" w:rsidRPr="0085055B" w:rsidRDefault="00E119A1" w:rsidP="00463068">
      <w:pPr>
        <w:rPr>
          <w:rFonts w:cs="Calibri"/>
          <w:i/>
          <w:iCs/>
          <w:color w:val="000000" w:themeColor="text1"/>
          <w:szCs w:val="20"/>
          <w:lang w:val="en-US"/>
        </w:rPr>
      </w:pPr>
      <w:r w:rsidRPr="00E119A1">
        <w:rPr>
          <w:rFonts w:cs="Calibri"/>
          <w:i/>
          <w:iCs/>
          <w:color w:val="000000" w:themeColor="text1"/>
          <w:szCs w:val="20"/>
          <w:lang w:val="en-US"/>
        </w:rPr>
        <w:t xml:space="preserve">“This year's first quarter was the most successful in our Group's history in terms of revenues. We recorded a significant increase in sales to military and law enforcement customers, thanks to among other things the consolidation of the ammunition manufacturer swissAA, but at the same time profitability decreased due to the discount campaigns aimed at boosting the CZ presence in the US commercial market. For the remainder of 2024, we expect a significant increase in our performance, both through organic growth and the consolidation of the </w:t>
      </w:r>
      <w:r w:rsidRPr="00E119A1">
        <w:rPr>
          <w:rFonts w:cs="Calibri"/>
          <w:i/>
          <w:iCs/>
          <w:color w:val="000000" w:themeColor="text1"/>
          <w:szCs w:val="20"/>
          <w:lang w:val="en-US"/>
        </w:rPr>
        <w:lastRenderedPageBreak/>
        <w:t>results of Sellier &amp; Bellot, whose acquisition we successfully completed on May 16. We confirm our full year 2024 guidance of CZK 20</w:t>
      </w:r>
      <w:r w:rsidR="003C14A4">
        <w:rPr>
          <w:rFonts w:cs="Calibri"/>
          <w:i/>
          <w:iCs/>
          <w:color w:val="000000" w:themeColor="text1"/>
          <w:szCs w:val="20"/>
          <w:lang w:val="en-US"/>
        </w:rPr>
        <w:t>–</w:t>
      </w:r>
      <w:r w:rsidRPr="00E119A1">
        <w:rPr>
          <w:rFonts w:cs="Calibri"/>
          <w:i/>
          <w:iCs/>
          <w:color w:val="000000" w:themeColor="text1"/>
          <w:szCs w:val="20"/>
          <w:lang w:val="en-US"/>
        </w:rPr>
        <w:t>22 billion of revenues and CZK 4,3–4,7 billion of EBITDA which both represent a growth of around 40</w:t>
      </w:r>
      <w:r w:rsidR="003C14A4">
        <w:rPr>
          <w:rFonts w:cs="Calibri"/>
          <w:i/>
          <w:iCs/>
          <w:color w:val="000000" w:themeColor="text1"/>
          <w:szCs w:val="20"/>
          <w:lang w:val="en-US"/>
        </w:rPr>
        <w:t>–</w:t>
      </w:r>
      <w:r w:rsidRPr="00E119A1">
        <w:rPr>
          <w:rFonts w:cs="Calibri"/>
          <w:i/>
          <w:iCs/>
          <w:color w:val="000000" w:themeColor="text1"/>
          <w:szCs w:val="20"/>
          <w:lang w:val="en-US"/>
        </w:rPr>
        <w:t xml:space="preserve">50% </w:t>
      </w:r>
      <w:r w:rsidR="003C14A4">
        <w:rPr>
          <w:rFonts w:cs="Calibri"/>
          <w:i/>
          <w:iCs/>
          <w:color w:val="000000" w:themeColor="text1"/>
          <w:szCs w:val="20"/>
          <w:lang w:val="en-US"/>
        </w:rPr>
        <w:t>in comparison</w:t>
      </w:r>
      <w:r w:rsidR="00680931">
        <w:rPr>
          <w:rFonts w:cs="Calibri"/>
          <w:i/>
          <w:iCs/>
          <w:color w:val="000000" w:themeColor="text1"/>
          <w:szCs w:val="20"/>
          <w:lang w:val="en-US"/>
        </w:rPr>
        <w:t xml:space="preserve"> with</w:t>
      </w:r>
      <w:r w:rsidRPr="00E119A1">
        <w:rPr>
          <w:rFonts w:cs="Calibri"/>
          <w:i/>
          <w:iCs/>
          <w:color w:val="000000" w:themeColor="text1"/>
          <w:szCs w:val="20"/>
          <w:lang w:val="en-US"/>
        </w:rPr>
        <w:t xml:space="preserve"> 2023,” </w:t>
      </w:r>
      <w:r w:rsidRPr="00E119A1">
        <w:rPr>
          <w:rFonts w:cs="Calibri"/>
          <w:color w:val="000000" w:themeColor="text1"/>
          <w:szCs w:val="20"/>
          <w:lang w:val="en-US"/>
        </w:rPr>
        <w:t xml:space="preserve">commented </w:t>
      </w:r>
      <w:r w:rsidRPr="00E119A1">
        <w:rPr>
          <w:rFonts w:cs="Calibri"/>
          <w:b/>
          <w:bCs/>
          <w:color w:val="000000" w:themeColor="text1"/>
          <w:szCs w:val="20"/>
          <w:lang w:val="en-US"/>
        </w:rPr>
        <w:t>Jan Drahota, CEO and Chairman of the Board of Directors of Colt CZ Group</w:t>
      </w:r>
      <w:r w:rsidRPr="00E119A1">
        <w:rPr>
          <w:rFonts w:cs="Calibri"/>
          <w:color w:val="000000" w:themeColor="text1"/>
          <w:szCs w:val="20"/>
          <w:lang w:val="en-US"/>
        </w:rPr>
        <w:t>.</w:t>
      </w:r>
    </w:p>
    <w:p w14:paraId="595EE702" w14:textId="7B5D29A5" w:rsidR="00BD3D9F" w:rsidRPr="0085055B" w:rsidRDefault="00624F2A" w:rsidP="00344DC2">
      <w:pPr>
        <w:spacing w:before="240" w:line="276" w:lineRule="auto"/>
        <w:rPr>
          <w:rFonts w:eastAsiaTheme="minorHAnsi" w:cs="Calibri"/>
          <w:b/>
          <w:bCs/>
          <w:szCs w:val="20"/>
          <w:lang w:val="en-US"/>
        </w:rPr>
      </w:pPr>
      <w:r w:rsidRPr="0085055B">
        <w:rPr>
          <w:rFonts w:eastAsiaTheme="minorHAnsi" w:cs="Calibri"/>
          <w:b/>
          <w:bCs/>
          <w:szCs w:val="20"/>
          <w:lang w:val="en-US"/>
        </w:rPr>
        <w:t>Revenues</w:t>
      </w:r>
    </w:p>
    <w:p w14:paraId="03A9478F" w14:textId="0AC10219" w:rsidR="005877B2" w:rsidRPr="0085055B" w:rsidRDefault="00166A11" w:rsidP="00BD3D9F">
      <w:pPr>
        <w:autoSpaceDE w:val="0"/>
        <w:autoSpaceDN w:val="0"/>
        <w:adjustRightInd w:val="0"/>
        <w:spacing w:before="120" w:line="276" w:lineRule="auto"/>
        <w:rPr>
          <w:rFonts w:eastAsia="Montserrat Light"/>
          <w:lang w:val="en-US"/>
        </w:rPr>
      </w:pPr>
      <w:r w:rsidRPr="0085055B">
        <w:rPr>
          <w:rFonts w:eastAsiaTheme="minorHAnsi" w:cs="Calibri"/>
          <w:szCs w:val="20"/>
          <w:lang w:val="en-US"/>
        </w:rPr>
        <w:t xml:space="preserve">Compared with the results as </w:t>
      </w:r>
      <w:r w:rsidR="00075BE6" w:rsidRPr="0085055B">
        <w:rPr>
          <w:rFonts w:eastAsiaTheme="minorHAnsi" w:cs="Calibri"/>
          <w:szCs w:val="20"/>
          <w:lang w:val="en-US"/>
        </w:rPr>
        <w:t>of</w:t>
      </w:r>
      <w:r w:rsidRPr="0085055B">
        <w:rPr>
          <w:rFonts w:eastAsiaTheme="minorHAnsi" w:cs="Calibri"/>
          <w:szCs w:val="20"/>
          <w:lang w:val="en-US"/>
        </w:rPr>
        <w:t xml:space="preserve"> March</w:t>
      </w:r>
      <w:r w:rsidR="00DB71BE" w:rsidRPr="0085055B">
        <w:rPr>
          <w:rFonts w:eastAsiaTheme="minorHAnsi" w:cs="Calibri"/>
          <w:szCs w:val="20"/>
          <w:lang w:val="en-US"/>
        </w:rPr>
        <w:t xml:space="preserve"> 31,</w:t>
      </w:r>
      <w:r w:rsidRPr="0085055B">
        <w:rPr>
          <w:rFonts w:eastAsiaTheme="minorHAnsi" w:cs="Calibri"/>
          <w:szCs w:val="20"/>
          <w:lang w:val="en-US"/>
        </w:rPr>
        <w:t xml:space="preserve"> 202</w:t>
      </w:r>
      <w:r w:rsidR="005877B2" w:rsidRPr="0085055B">
        <w:rPr>
          <w:rFonts w:eastAsiaTheme="minorHAnsi" w:cs="Calibri"/>
          <w:szCs w:val="20"/>
          <w:lang w:val="en-US"/>
        </w:rPr>
        <w:t>3</w:t>
      </w:r>
      <w:r w:rsidRPr="0085055B">
        <w:rPr>
          <w:rFonts w:eastAsiaTheme="minorHAnsi" w:cs="Calibri"/>
          <w:szCs w:val="20"/>
          <w:lang w:val="en-US"/>
        </w:rPr>
        <w:t xml:space="preserve">, the revenues for the first three months </w:t>
      </w:r>
      <w:r w:rsidR="009E3FA6" w:rsidRPr="0085055B">
        <w:rPr>
          <w:rFonts w:eastAsiaTheme="minorHAnsi" w:cs="Calibri"/>
          <w:szCs w:val="20"/>
          <w:lang w:val="en-US"/>
        </w:rPr>
        <w:t xml:space="preserve">of </w:t>
      </w:r>
      <w:r w:rsidR="0059427F" w:rsidRPr="0085055B">
        <w:rPr>
          <w:rFonts w:eastAsiaTheme="minorHAnsi" w:cs="Calibri"/>
          <w:szCs w:val="20"/>
          <w:lang w:val="en-US"/>
        </w:rPr>
        <w:t>202</w:t>
      </w:r>
      <w:r w:rsidR="005877B2" w:rsidRPr="0085055B">
        <w:rPr>
          <w:rFonts w:eastAsiaTheme="minorHAnsi" w:cs="Calibri"/>
          <w:szCs w:val="20"/>
          <w:lang w:val="en-US"/>
        </w:rPr>
        <w:t>4</w:t>
      </w:r>
      <w:r w:rsidR="0059427F" w:rsidRPr="0085055B">
        <w:rPr>
          <w:rFonts w:eastAsiaTheme="minorHAnsi" w:cs="Calibri"/>
          <w:szCs w:val="20"/>
          <w:lang w:val="en-US"/>
        </w:rPr>
        <w:t xml:space="preserve"> </w:t>
      </w:r>
      <w:r w:rsidR="005877B2" w:rsidRPr="0085055B">
        <w:rPr>
          <w:rFonts w:eastAsiaTheme="minorHAnsi" w:cs="Calibri"/>
          <w:szCs w:val="20"/>
          <w:lang w:val="en-US"/>
        </w:rPr>
        <w:t>increased</w:t>
      </w:r>
      <w:r w:rsidRPr="0085055B">
        <w:rPr>
          <w:rFonts w:eastAsiaTheme="minorHAnsi" w:cs="Calibri"/>
          <w:szCs w:val="20"/>
          <w:lang w:val="en-US"/>
        </w:rPr>
        <w:t xml:space="preserve"> by </w:t>
      </w:r>
      <w:r w:rsidR="005877B2" w:rsidRPr="0085055B">
        <w:rPr>
          <w:rFonts w:eastAsiaTheme="minorHAnsi" w:cs="Calibri"/>
          <w:szCs w:val="20"/>
          <w:lang w:val="en-US"/>
        </w:rPr>
        <w:t>21.7</w:t>
      </w:r>
      <w:r w:rsidRPr="0085055B">
        <w:rPr>
          <w:rFonts w:eastAsiaTheme="minorHAnsi" w:cs="Calibri"/>
          <w:szCs w:val="20"/>
          <w:lang w:val="en-US"/>
        </w:rPr>
        <w:t>%</w:t>
      </w:r>
      <w:r w:rsidR="006E7A34" w:rsidRPr="0085055B">
        <w:rPr>
          <w:rFonts w:eastAsiaTheme="minorHAnsi" w:cs="Calibri"/>
          <w:szCs w:val="20"/>
          <w:lang w:val="en-US"/>
        </w:rPr>
        <w:t xml:space="preserve"> </w:t>
      </w:r>
      <w:r w:rsidRPr="0085055B">
        <w:rPr>
          <w:rFonts w:eastAsiaTheme="minorHAnsi" w:cs="Calibri"/>
          <w:szCs w:val="20"/>
          <w:lang w:val="en-US"/>
        </w:rPr>
        <w:t>to CZK 3</w:t>
      </w:r>
      <w:r w:rsidR="0059427F" w:rsidRPr="0085055B">
        <w:rPr>
          <w:rFonts w:eastAsiaTheme="minorHAnsi" w:cs="Calibri"/>
          <w:szCs w:val="20"/>
          <w:lang w:val="en-US"/>
        </w:rPr>
        <w:t>.</w:t>
      </w:r>
      <w:r w:rsidR="005877B2" w:rsidRPr="0085055B">
        <w:rPr>
          <w:rFonts w:eastAsiaTheme="minorHAnsi" w:cs="Calibri"/>
          <w:szCs w:val="20"/>
          <w:lang w:val="en-US"/>
        </w:rPr>
        <w:t>7</w:t>
      </w:r>
      <w:r w:rsidRPr="0085055B">
        <w:rPr>
          <w:rFonts w:eastAsiaTheme="minorHAnsi" w:cs="Calibri"/>
          <w:szCs w:val="20"/>
          <w:lang w:val="en-US"/>
        </w:rPr>
        <w:t xml:space="preserve"> billion</w:t>
      </w:r>
      <w:r w:rsidR="005877B2" w:rsidRPr="0085055B">
        <w:rPr>
          <w:rFonts w:eastAsiaTheme="minorHAnsi" w:cs="Calibri"/>
          <w:szCs w:val="20"/>
          <w:lang w:val="en-US"/>
        </w:rPr>
        <w:t xml:space="preserve">. </w:t>
      </w:r>
      <w:r w:rsidR="005877B2" w:rsidRPr="0085055B">
        <w:rPr>
          <w:rFonts w:eastAsia="Montserrat Light"/>
          <w:lang w:val="en-US"/>
        </w:rPr>
        <w:t xml:space="preserve">Higher sales were recorded mainly in the military and law enforcement segment as well as in the commercial segment and in all reported regions except Africa. The </w:t>
      </w:r>
      <w:r w:rsidR="00193EE8" w:rsidRPr="0085055B">
        <w:rPr>
          <w:rFonts w:eastAsia="Montserrat Light"/>
          <w:lang w:val="en-US"/>
        </w:rPr>
        <w:t>sales performance</w:t>
      </w:r>
      <w:r w:rsidR="005877B2" w:rsidRPr="0085055B">
        <w:rPr>
          <w:rFonts w:eastAsia="Montserrat Light"/>
          <w:lang w:val="en-US"/>
        </w:rPr>
        <w:t xml:space="preserve"> in the first quarter of 2024 followed the expected development of the</w:t>
      </w:r>
      <w:r w:rsidR="00193EE8" w:rsidRPr="0085055B">
        <w:rPr>
          <w:rFonts w:eastAsia="Montserrat Light"/>
          <w:lang w:val="en-US"/>
        </w:rPr>
        <w:t>ir</w:t>
      </w:r>
      <w:r w:rsidR="005877B2" w:rsidRPr="0085055B">
        <w:rPr>
          <w:rFonts w:eastAsia="Montserrat Light"/>
          <w:lang w:val="en-US"/>
        </w:rPr>
        <w:t xml:space="preserve"> quarterly seasonality, when the first quarter of the year is </w:t>
      </w:r>
      <w:r w:rsidR="00193EE8" w:rsidRPr="0085055B">
        <w:rPr>
          <w:rFonts w:eastAsia="Montserrat Light"/>
          <w:lang w:val="en-US"/>
        </w:rPr>
        <w:t xml:space="preserve">typically </w:t>
      </w:r>
      <w:r w:rsidR="005877B2" w:rsidRPr="0085055B">
        <w:rPr>
          <w:rFonts w:eastAsia="Montserrat Light"/>
          <w:lang w:val="en-US"/>
        </w:rPr>
        <w:t xml:space="preserve">rather weaker in the context of </w:t>
      </w:r>
      <w:r w:rsidR="00C25207" w:rsidRPr="0085055B">
        <w:rPr>
          <w:rFonts w:eastAsia="Montserrat Light"/>
          <w:lang w:val="en-US"/>
        </w:rPr>
        <w:t>a</w:t>
      </w:r>
      <w:r w:rsidR="005877B2" w:rsidRPr="0085055B">
        <w:rPr>
          <w:rFonts w:eastAsia="Montserrat Light"/>
          <w:lang w:val="en-US"/>
        </w:rPr>
        <w:t xml:space="preserve"> whole year. The </w:t>
      </w:r>
      <w:r w:rsidR="00C25207" w:rsidRPr="0085055B">
        <w:rPr>
          <w:rFonts w:eastAsia="Montserrat Light"/>
          <w:lang w:val="en-US"/>
        </w:rPr>
        <w:t>C</w:t>
      </w:r>
      <w:r w:rsidR="005877B2" w:rsidRPr="0085055B">
        <w:rPr>
          <w:rFonts w:eastAsia="Montserrat Light"/>
          <w:lang w:val="en-US"/>
        </w:rPr>
        <w:t xml:space="preserve">ompany </w:t>
      </w:r>
      <w:r w:rsidR="00C25207" w:rsidRPr="0085055B">
        <w:rPr>
          <w:rFonts w:eastAsia="Montserrat Light"/>
          <w:lang w:val="en-US"/>
        </w:rPr>
        <w:t xml:space="preserve">has </w:t>
      </w:r>
      <w:r w:rsidR="005877B2" w:rsidRPr="0085055B">
        <w:rPr>
          <w:rFonts w:eastAsia="Montserrat Light"/>
          <w:lang w:val="en-US"/>
        </w:rPr>
        <w:t xml:space="preserve">also </w:t>
      </w:r>
      <w:r w:rsidR="00346CFF" w:rsidRPr="0085055B">
        <w:rPr>
          <w:rFonts w:eastAsia="Montserrat Light"/>
          <w:lang w:val="en-US"/>
        </w:rPr>
        <w:t>observed</w:t>
      </w:r>
      <w:r w:rsidR="005877B2" w:rsidRPr="0085055B">
        <w:rPr>
          <w:rFonts w:eastAsia="Montserrat Light"/>
          <w:lang w:val="en-US"/>
        </w:rPr>
        <w:t xml:space="preserve"> a gradual recovery of the commercial market in the United States of America. </w:t>
      </w:r>
      <w:r w:rsidR="00346CFF" w:rsidRPr="0085055B">
        <w:rPr>
          <w:rFonts w:eastAsia="Montserrat Light"/>
          <w:lang w:val="en-US"/>
        </w:rPr>
        <w:t xml:space="preserve">In addition, </w:t>
      </w:r>
      <w:r w:rsidR="00193EE8" w:rsidRPr="0085055B">
        <w:rPr>
          <w:rFonts w:eastAsia="Montserrat Light"/>
          <w:lang w:val="en-US"/>
        </w:rPr>
        <w:t>several</w:t>
      </w:r>
      <w:r w:rsidR="005877B2" w:rsidRPr="0085055B">
        <w:rPr>
          <w:rFonts w:eastAsia="Montserrat Light"/>
          <w:lang w:val="en-US"/>
        </w:rPr>
        <w:t xml:space="preserve"> orders from the </w:t>
      </w:r>
      <w:r w:rsidR="00346CFF" w:rsidRPr="0085055B">
        <w:rPr>
          <w:rFonts w:eastAsia="Montserrat Light"/>
          <w:lang w:val="en-US"/>
        </w:rPr>
        <w:t>military and law enforcement</w:t>
      </w:r>
      <w:r w:rsidR="005877B2" w:rsidRPr="0085055B">
        <w:rPr>
          <w:rFonts w:eastAsia="Montserrat Light"/>
          <w:lang w:val="en-US"/>
        </w:rPr>
        <w:t xml:space="preserve"> segment, which did not </w:t>
      </w:r>
      <w:r w:rsidR="00193EE8" w:rsidRPr="0085055B">
        <w:rPr>
          <w:rFonts w:eastAsia="Montserrat Light"/>
          <w:lang w:val="en-US"/>
        </w:rPr>
        <w:t>materialize</w:t>
      </w:r>
      <w:r w:rsidR="005877B2" w:rsidRPr="0085055B">
        <w:rPr>
          <w:rFonts w:eastAsia="Montserrat Light"/>
          <w:lang w:val="en-US"/>
        </w:rPr>
        <w:t xml:space="preserve"> at the end of 2023 due to </w:t>
      </w:r>
      <w:r w:rsidR="00C25207" w:rsidRPr="0085055B">
        <w:rPr>
          <w:rFonts w:eastAsia="Montserrat Light"/>
          <w:lang w:val="en-US"/>
        </w:rPr>
        <w:t>prolonged</w:t>
      </w:r>
      <w:r w:rsidR="005877B2" w:rsidRPr="0085055B">
        <w:rPr>
          <w:rFonts w:eastAsia="Montserrat Light"/>
          <w:lang w:val="en-US"/>
        </w:rPr>
        <w:t xml:space="preserve"> licensing procedures</w:t>
      </w:r>
      <w:r w:rsidR="00346CFF" w:rsidRPr="0085055B">
        <w:rPr>
          <w:rFonts w:eastAsia="Montserrat Light"/>
          <w:lang w:val="en-US"/>
        </w:rPr>
        <w:t>, were completed</w:t>
      </w:r>
      <w:r w:rsidR="005877B2" w:rsidRPr="0085055B">
        <w:rPr>
          <w:rFonts w:eastAsia="Montserrat Light"/>
          <w:lang w:val="en-US"/>
        </w:rPr>
        <w:t>.</w:t>
      </w:r>
    </w:p>
    <w:p w14:paraId="74C80B99" w14:textId="4E47675F" w:rsidR="00346CFF" w:rsidRPr="0085055B" w:rsidRDefault="00346CFF" w:rsidP="00BD3D9F">
      <w:pPr>
        <w:autoSpaceDE w:val="0"/>
        <w:autoSpaceDN w:val="0"/>
        <w:adjustRightInd w:val="0"/>
        <w:spacing w:before="120" w:line="276" w:lineRule="auto"/>
        <w:rPr>
          <w:rFonts w:eastAsiaTheme="minorHAnsi" w:cs="Calibri"/>
          <w:szCs w:val="20"/>
          <w:lang w:val="en-US"/>
        </w:rPr>
      </w:pPr>
      <w:r w:rsidRPr="0085055B">
        <w:rPr>
          <w:rFonts w:eastAsiaTheme="minorHAnsi" w:cs="Calibri"/>
          <w:szCs w:val="20"/>
          <w:lang w:val="en-US"/>
        </w:rPr>
        <w:t>The revenues achieved in the ammunition segment in the first quarter of 2024 included mainly the revenues of the Swiss subsidiary swissAA and Colt CZ Defen</w:t>
      </w:r>
      <w:r w:rsidR="009E3FA6" w:rsidRPr="0085055B">
        <w:rPr>
          <w:rFonts w:eastAsiaTheme="minorHAnsi" w:cs="Calibri"/>
          <w:szCs w:val="20"/>
          <w:lang w:val="en-US"/>
        </w:rPr>
        <w:t>c</w:t>
      </w:r>
      <w:r w:rsidRPr="0085055B">
        <w:rPr>
          <w:rFonts w:eastAsiaTheme="minorHAnsi" w:cs="Calibri"/>
          <w:szCs w:val="20"/>
          <w:lang w:val="en-US"/>
        </w:rPr>
        <w:t>e Solutions s.r.o. and amounted to CZK 290 million.</w:t>
      </w:r>
    </w:p>
    <w:p w14:paraId="5B008446" w14:textId="65AFA517" w:rsidR="007B6BB8" w:rsidRPr="0085055B" w:rsidRDefault="00166A11" w:rsidP="00BD3D9F">
      <w:pPr>
        <w:autoSpaceDE w:val="0"/>
        <w:autoSpaceDN w:val="0"/>
        <w:adjustRightInd w:val="0"/>
        <w:spacing w:before="120" w:line="276" w:lineRule="auto"/>
        <w:rPr>
          <w:rFonts w:eastAsiaTheme="minorHAnsi" w:cs="Calibri"/>
          <w:szCs w:val="20"/>
          <w:lang w:val="en-US"/>
        </w:rPr>
      </w:pPr>
      <w:r w:rsidRPr="0085055B">
        <w:rPr>
          <w:rFonts w:eastAsiaTheme="minorHAnsi" w:cs="Calibri"/>
          <w:szCs w:val="20"/>
          <w:lang w:val="en-US"/>
        </w:rPr>
        <w:t xml:space="preserve">Regionally, the revenues generated in the Czech Republic went up y-o-y by </w:t>
      </w:r>
      <w:r w:rsidR="00346CFF" w:rsidRPr="0085055B">
        <w:rPr>
          <w:rFonts w:eastAsiaTheme="minorHAnsi" w:cs="Calibri"/>
          <w:szCs w:val="20"/>
          <w:lang w:val="en-US"/>
        </w:rPr>
        <w:t>27.9</w:t>
      </w:r>
      <w:r w:rsidRPr="0085055B">
        <w:rPr>
          <w:rFonts w:eastAsiaTheme="minorHAnsi" w:cs="Calibri"/>
          <w:szCs w:val="20"/>
          <w:lang w:val="en-US"/>
        </w:rPr>
        <w:t xml:space="preserve">% to CZK </w:t>
      </w:r>
      <w:r w:rsidR="00346CFF" w:rsidRPr="0085055B">
        <w:rPr>
          <w:rFonts w:eastAsiaTheme="minorHAnsi" w:cs="Calibri"/>
          <w:szCs w:val="20"/>
          <w:lang w:val="en-US"/>
        </w:rPr>
        <w:t>628.2</w:t>
      </w:r>
      <w:r w:rsidRPr="0085055B">
        <w:rPr>
          <w:rFonts w:eastAsiaTheme="minorHAnsi" w:cs="Calibri"/>
          <w:szCs w:val="20"/>
          <w:lang w:val="en-US"/>
        </w:rPr>
        <w:t xml:space="preserve"> million as </w:t>
      </w:r>
      <w:r w:rsidR="00075BE6" w:rsidRPr="0085055B">
        <w:rPr>
          <w:rFonts w:eastAsiaTheme="minorHAnsi" w:cs="Calibri"/>
          <w:szCs w:val="20"/>
          <w:lang w:val="en-US"/>
        </w:rPr>
        <w:t>of</w:t>
      </w:r>
      <w:r w:rsidRPr="0085055B">
        <w:rPr>
          <w:rFonts w:eastAsiaTheme="minorHAnsi" w:cs="Calibri"/>
          <w:szCs w:val="20"/>
          <w:lang w:val="en-US"/>
        </w:rPr>
        <w:t xml:space="preserve"> March</w:t>
      </w:r>
      <w:r w:rsidR="00AA118F" w:rsidRPr="0085055B">
        <w:rPr>
          <w:rFonts w:eastAsiaTheme="minorHAnsi" w:cs="Calibri"/>
          <w:szCs w:val="20"/>
          <w:lang w:val="en-US"/>
        </w:rPr>
        <w:t xml:space="preserve"> 31, 202</w:t>
      </w:r>
      <w:r w:rsidR="00346CFF" w:rsidRPr="0085055B">
        <w:rPr>
          <w:rFonts w:eastAsiaTheme="minorHAnsi" w:cs="Calibri"/>
          <w:szCs w:val="20"/>
          <w:lang w:val="en-US"/>
        </w:rPr>
        <w:t>4</w:t>
      </w:r>
      <w:r w:rsidR="00AA118F" w:rsidRPr="0085055B">
        <w:rPr>
          <w:rFonts w:eastAsiaTheme="minorHAnsi" w:cs="Calibri"/>
          <w:szCs w:val="20"/>
          <w:lang w:val="en-US"/>
        </w:rPr>
        <w:t>,</w:t>
      </w:r>
      <w:r w:rsidRPr="0085055B">
        <w:rPr>
          <w:rFonts w:eastAsiaTheme="minorHAnsi" w:cs="Calibri"/>
          <w:szCs w:val="20"/>
          <w:lang w:val="en-US"/>
        </w:rPr>
        <w:t xml:space="preserve"> due to the continu</w:t>
      </w:r>
      <w:r w:rsidR="00EC7BF9" w:rsidRPr="0085055B">
        <w:rPr>
          <w:rFonts w:eastAsiaTheme="minorHAnsi" w:cs="Calibri"/>
          <w:szCs w:val="20"/>
          <w:lang w:val="en-US"/>
        </w:rPr>
        <w:t>ed</w:t>
      </w:r>
      <w:r w:rsidRPr="0085055B">
        <w:rPr>
          <w:rFonts w:eastAsiaTheme="minorHAnsi" w:cs="Calibri"/>
          <w:szCs w:val="20"/>
          <w:lang w:val="en-US"/>
        </w:rPr>
        <w:t xml:space="preserve"> deliveries to the Czech Army under the framework contract. Revenues generated in the United States </w:t>
      </w:r>
      <w:r w:rsidR="00346CFF" w:rsidRPr="0085055B">
        <w:rPr>
          <w:rFonts w:eastAsiaTheme="minorHAnsi" w:cs="Calibri"/>
          <w:szCs w:val="20"/>
          <w:lang w:val="en-US"/>
        </w:rPr>
        <w:t>increased</w:t>
      </w:r>
      <w:r w:rsidRPr="0085055B">
        <w:rPr>
          <w:rFonts w:eastAsiaTheme="minorHAnsi" w:cs="Calibri"/>
          <w:szCs w:val="20"/>
          <w:lang w:val="en-US"/>
        </w:rPr>
        <w:t xml:space="preserve"> y-o-y by </w:t>
      </w:r>
      <w:r w:rsidR="00346CFF" w:rsidRPr="0085055B">
        <w:rPr>
          <w:rFonts w:eastAsiaTheme="minorHAnsi" w:cs="Calibri"/>
          <w:szCs w:val="20"/>
          <w:lang w:val="en-US"/>
        </w:rPr>
        <w:t>7.1</w:t>
      </w:r>
      <w:r w:rsidR="006E7A34" w:rsidRPr="0085055B">
        <w:rPr>
          <w:rFonts w:eastAsiaTheme="minorHAnsi" w:cs="Calibri"/>
          <w:szCs w:val="20"/>
          <w:lang w:val="en-US"/>
        </w:rPr>
        <w:t xml:space="preserve">% </w:t>
      </w:r>
      <w:r w:rsidRPr="0085055B">
        <w:rPr>
          <w:rFonts w:eastAsiaTheme="minorHAnsi" w:cs="Calibri"/>
          <w:szCs w:val="20"/>
          <w:lang w:val="en-US"/>
        </w:rPr>
        <w:t xml:space="preserve">to CZK </w:t>
      </w:r>
      <w:r w:rsidR="00AA118F" w:rsidRPr="0085055B">
        <w:rPr>
          <w:rFonts w:eastAsiaTheme="minorHAnsi" w:cs="Calibri"/>
          <w:szCs w:val="20"/>
          <w:lang w:val="en-US"/>
        </w:rPr>
        <w:t>1.</w:t>
      </w:r>
      <w:r w:rsidR="00346CFF" w:rsidRPr="0085055B">
        <w:rPr>
          <w:rFonts w:eastAsiaTheme="minorHAnsi" w:cs="Calibri"/>
          <w:szCs w:val="20"/>
          <w:lang w:val="en-US"/>
        </w:rPr>
        <w:t>7</w:t>
      </w:r>
      <w:r w:rsidRPr="0085055B">
        <w:rPr>
          <w:rFonts w:eastAsiaTheme="minorHAnsi" w:cs="Calibri"/>
          <w:szCs w:val="20"/>
          <w:lang w:val="en-US"/>
        </w:rPr>
        <w:t xml:space="preserve"> billion for the </w:t>
      </w:r>
      <w:r w:rsidR="009E1C21" w:rsidRPr="0085055B">
        <w:rPr>
          <w:rFonts w:eastAsiaTheme="minorHAnsi" w:cs="Calibri"/>
          <w:szCs w:val="20"/>
          <w:lang w:val="en-US"/>
        </w:rPr>
        <w:t>first three</w:t>
      </w:r>
      <w:r w:rsidRPr="0085055B">
        <w:rPr>
          <w:rFonts w:eastAsiaTheme="minorHAnsi" w:cs="Calibri"/>
          <w:szCs w:val="20"/>
          <w:lang w:val="en-US"/>
        </w:rPr>
        <w:t xml:space="preserve"> months </w:t>
      </w:r>
      <w:r w:rsidR="009E1C21" w:rsidRPr="0085055B">
        <w:rPr>
          <w:rFonts w:eastAsiaTheme="minorHAnsi" w:cs="Calibri"/>
          <w:szCs w:val="20"/>
          <w:lang w:val="en-US"/>
        </w:rPr>
        <w:t>202</w:t>
      </w:r>
      <w:r w:rsidR="00346CFF" w:rsidRPr="0085055B">
        <w:rPr>
          <w:rFonts w:eastAsiaTheme="minorHAnsi" w:cs="Calibri"/>
          <w:szCs w:val="20"/>
          <w:lang w:val="en-US"/>
        </w:rPr>
        <w:t>4</w:t>
      </w:r>
      <w:r w:rsidR="002F6C00" w:rsidRPr="0085055B">
        <w:rPr>
          <w:rFonts w:eastAsiaTheme="minorHAnsi" w:cs="Calibri"/>
          <w:szCs w:val="20"/>
          <w:lang w:val="en-US"/>
        </w:rPr>
        <w:t>.</w:t>
      </w:r>
      <w:r w:rsidRPr="0085055B">
        <w:rPr>
          <w:rFonts w:eastAsiaTheme="minorHAnsi" w:cs="Calibri"/>
          <w:szCs w:val="20"/>
          <w:lang w:val="en-US"/>
        </w:rPr>
        <w:t xml:space="preserve"> </w:t>
      </w:r>
      <w:r w:rsidR="007B6BB8" w:rsidRPr="0085055B">
        <w:rPr>
          <w:rFonts w:eastAsiaTheme="minorHAnsi" w:cs="Calibri"/>
          <w:szCs w:val="20"/>
          <w:lang w:val="en-US"/>
        </w:rPr>
        <w:t>R</w:t>
      </w:r>
      <w:r w:rsidRPr="0085055B">
        <w:rPr>
          <w:rFonts w:eastAsiaTheme="minorHAnsi" w:cs="Calibri"/>
          <w:szCs w:val="20"/>
          <w:lang w:val="en-US"/>
        </w:rPr>
        <w:t xml:space="preserve">evenues in Canada reached CZK </w:t>
      </w:r>
      <w:r w:rsidR="00346CFF" w:rsidRPr="0085055B">
        <w:rPr>
          <w:rFonts w:eastAsiaTheme="minorHAnsi" w:cs="Calibri"/>
          <w:szCs w:val="20"/>
          <w:lang w:val="en-US"/>
        </w:rPr>
        <w:t>409.4</w:t>
      </w:r>
      <w:r w:rsidRPr="0085055B">
        <w:rPr>
          <w:rFonts w:eastAsiaTheme="minorHAnsi" w:cs="Calibri"/>
          <w:szCs w:val="20"/>
          <w:lang w:val="en-US"/>
        </w:rPr>
        <w:t xml:space="preserve"> million in the first </w:t>
      </w:r>
      <w:r w:rsidR="009E1C21" w:rsidRPr="0085055B">
        <w:rPr>
          <w:rFonts w:eastAsiaTheme="minorHAnsi" w:cs="Calibri"/>
          <w:szCs w:val="20"/>
          <w:lang w:val="en-US"/>
        </w:rPr>
        <w:t>three</w:t>
      </w:r>
      <w:r w:rsidRPr="0085055B">
        <w:rPr>
          <w:rFonts w:eastAsiaTheme="minorHAnsi" w:cs="Calibri"/>
          <w:szCs w:val="20"/>
          <w:lang w:val="en-US"/>
        </w:rPr>
        <w:t xml:space="preserve"> months of 202</w:t>
      </w:r>
      <w:r w:rsidR="00346CFF" w:rsidRPr="0085055B">
        <w:rPr>
          <w:rFonts w:eastAsiaTheme="minorHAnsi" w:cs="Calibri"/>
          <w:szCs w:val="20"/>
          <w:lang w:val="en-US"/>
        </w:rPr>
        <w:t>4</w:t>
      </w:r>
      <w:r w:rsidRPr="0085055B">
        <w:rPr>
          <w:rFonts w:eastAsiaTheme="minorHAnsi" w:cs="Calibri"/>
          <w:szCs w:val="20"/>
          <w:lang w:val="en-US"/>
        </w:rPr>
        <w:t xml:space="preserve">, </w:t>
      </w:r>
      <w:r w:rsidR="00346CFF" w:rsidRPr="0085055B">
        <w:rPr>
          <w:rFonts w:eastAsiaTheme="minorHAnsi" w:cs="Calibri"/>
          <w:szCs w:val="20"/>
          <w:lang w:val="en-US"/>
        </w:rPr>
        <w:t>up</w:t>
      </w:r>
      <w:r w:rsidRPr="0085055B">
        <w:rPr>
          <w:rFonts w:eastAsiaTheme="minorHAnsi" w:cs="Calibri"/>
          <w:szCs w:val="20"/>
          <w:lang w:val="en-US"/>
        </w:rPr>
        <w:t xml:space="preserve"> by </w:t>
      </w:r>
      <w:r w:rsidR="00346CFF" w:rsidRPr="0085055B">
        <w:rPr>
          <w:rFonts w:eastAsiaTheme="minorHAnsi" w:cs="Calibri"/>
          <w:szCs w:val="20"/>
          <w:lang w:val="en-US"/>
        </w:rPr>
        <w:t>86.2</w:t>
      </w:r>
      <w:r w:rsidRPr="0085055B">
        <w:rPr>
          <w:rFonts w:eastAsiaTheme="minorHAnsi" w:cs="Calibri"/>
          <w:szCs w:val="20"/>
          <w:lang w:val="en-US"/>
        </w:rPr>
        <w:t xml:space="preserve">% y-o-y. </w:t>
      </w:r>
      <w:r w:rsidR="005B2441" w:rsidRPr="0085055B">
        <w:rPr>
          <w:rFonts w:eastAsiaTheme="minorHAnsi" w:cs="Calibri"/>
          <w:szCs w:val="20"/>
          <w:lang w:val="en-US"/>
        </w:rPr>
        <w:t xml:space="preserve">A significant portion of these revenues is related to the Canadian government's support for Ukraine. </w:t>
      </w:r>
      <w:r w:rsidRPr="0085055B">
        <w:rPr>
          <w:rFonts w:eastAsiaTheme="minorHAnsi" w:cs="Calibri"/>
          <w:szCs w:val="20"/>
          <w:lang w:val="en-US"/>
        </w:rPr>
        <w:t xml:space="preserve">Revenues generated in Europe (excluding the Czech Republic) increased y-o-y by </w:t>
      </w:r>
      <w:r w:rsidR="004B518D" w:rsidRPr="0085055B">
        <w:rPr>
          <w:rFonts w:eastAsiaTheme="minorHAnsi" w:cs="Calibri"/>
          <w:szCs w:val="20"/>
          <w:lang w:val="en-US"/>
        </w:rPr>
        <w:t>10.4</w:t>
      </w:r>
      <w:r w:rsidR="006E7A34" w:rsidRPr="0085055B">
        <w:rPr>
          <w:rFonts w:eastAsiaTheme="minorHAnsi" w:cs="Calibri"/>
          <w:szCs w:val="20"/>
          <w:lang w:val="en-US"/>
        </w:rPr>
        <w:t xml:space="preserve">% </w:t>
      </w:r>
      <w:r w:rsidRPr="0085055B">
        <w:rPr>
          <w:rFonts w:eastAsiaTheme="minorHAnsi" w:cs="Calibri"/>
          <w:szCs w:val="20"/>
          <w:lang w:val="en-US"/>
        </w:rPr>
        <w:t xml:space="preserve">to CZK </w:t>
      </w:r>
      <w:r w:rsidR="004B518D" w:rsidRPr="0085055B">
        <w:rPr>
          <w:rFonts w:eastAsiaTheme="minorHAnsi" w:cs="Calibri"/>
          <w:szCs w:val="20"/>
          <w:lang w:val="en-US"/>
        </w:rPr>
        <w:t>421.4</w:t>
      </w:r>
      <w:r w:rsidRPr="0085055B">
        <w:rPr>
          <w:rFonts w:eastAsiaTheme="minorHAnsi" w:cs="Calibri"/>
          <w:szCs w:val="20"/>
          <w:lang w:val="en-US"/>
        </w:rPr>
        <w:t xml:space="preserve"> million for the </w:t>
      </w:r>
      <w:r w:rsidR="009E1C21" w:rsidRPr="0085055B">
        <w:rPr>
          <w:rFonts w:eastAsiaTheme="minorHAnsi" w:cs="Calibri"/>
          <w:szCs w:val="20"/>
          <w:lang w:val="en-US"/>
        </w:rPr>
        <w:t>three</w:t>
      </w:r>
      <w:r w:rsidRPr="0085055B">
        <w:rPr>
          <w:rFonts w:eastAsiaTheme="minorHAnsi" w:cs="Calibri"/>
          <w:szCs w:val="20"/>
          <w:lang w:val="en-US"/>
        </w:rPr>
        <w:t xml:space="preserve"> months ended </w:t>
      </w:r>
      <w:r w:rsidR="009E1C21" w:rsidRPr="0085055B">
        <w:rPr>
          <w:rFonts w:eastAsiaTheme="minorHAnsi" w:cs="Calibri"/>
          <w:szCs w:val="20"/>
          <w:lang w:val="en-US"/>
        </w:rPr>
        <w:t>March</w:t>
      </w:r>
      <w:r w:rsidR="00A0443C" w:rsidRPr="0085055B">
        <w:rPr>
          <w:rFonts w:eastAsiaTheme="minorHAnsi" w:cs="Calibri"/>
          <w:szCs w:val="20"/>
          <w:lang w:val="en-US"/>
        </w:rPr>
        <w:t xml:space="preserve"> 31,</w:t>
      </w:r>
      <w:r w:rsidRPr="0085055B">
        <w:rPr>
          <w:rFonts w:eastAsiaTheme="minorHAnsi" w:cs="Calibri"/>
          <w:szCs w:val="20"/>
          <w:lang w:val="en-US"/>
        </w:rPr>
        <w:t xml:space="preserve"> </w:t>
      </w:r>
      <w:r w:rsidR="00193EE8" w:rsidRPr="0085055B">
        <w:rPr>
          <w:rFonts w:eastAsiaTheme="minorHAnsi" w:cs="Calibri"/>
          <w:szCs w:val="20"/>
          <w:lang w:val="en-US"/>
        </w:rPr>
        <w:t>2024,</w:t>
      </w:r>
      <w:r w:rsidR="004B518D" w:rsidRPr="0085055B">
        <w:rPr>
          <w:rFonts w:eastAsiaTheme="minorHAnsi" w:cs="Calibri"/>
          <w:szCs w:val="20"/>
          <w:lang w:val="en-US"/>
        </w:rPr>
        <w:t xml:space="preserve"> and were </w:t>
      </w:r>
      <w:r w:rsidR="007B6BB8" w:rsidRPr="0085055B">
        <w:rPr>
          <w:rFonts w:eastAsiaTheme="minorHAnsi" w:cs="Calibri"/>
          <w:szCs w:val="20"/>
          <w:lang w:val="en-US"/>
        </w:rPr>
        <w:t xml:space="preserve">also </w:t>
      </w:r>
      <w:r w:rsidR="004B518D" w:rsidRPr="0085055B">
        <w:rPr>
          <w:rFonts w:eastAsiaTheme="minorHAnsi" w:cs="Calibri"/>
          <w:szCs w:val="20"/>
          <w:lang w:val="en-US"/>
        </w:rPr>
        <w:t xml:space="preserve">influenced by the consolidation of revenues of the </w:t>
      </w:r>
      <w:r w:rsidR="007B6BB8" w:rsidRPr="0085055B">
        <w:rPr>
          <w:rFonts w:eastAsiaTheme="minorHAnsi" w:cs="Calibri"/>
          <w:szCs w:val="20"/>
          <w:lang w:val="en-US"/>
        </w:rPr>
        <w:t xml:space="preserve">Swiss </w:t>
      </w:r>
      <w:r w:rsidR="004B518D" w:rsidRPr="0085055B">
        <w:rPr>
          <w:rFonts w:eastAsiaTheme="minorHAnsi" w:cs="Calibri"/>
          <w:szCs w:val="20"/>
          <w:lang w:val="en-US"/>
        </w:rPr>
        <w:t xml:space="preserve">ammunition </w:t>
      </w:r>
      <w:r w:rsidR="009E3FA6" w:rsidRPr="0085055B">
        <w:rPr>
          <w:rFonts w:eastAsiaTheme="minorHAnsi" w:cs="Calibri"/>
          <w:szCs w:val="20"/>
          <w:lang w:val="en-US"/>
        </w:rPr>
        <w:t xml:space="preserve">manufacturer </w:t>
      </w:r>
      <w:r w:rsidR="004B518D" w:rsidRPr="0085055B">
        <w:rPr>
          <w:rFonts w:eastAsiaTheme="minorHAnsi" w:cs="Calibri"/>
          <w:szCs w:val="20"/>
          <w:lang w:val="en-US"/>
        </w:rPr>
        <w:t>swissAA.</w:t>
      </w:r>
    </w:p>
    <w:p w14:paraId="7E9F7848" w14:textId="7A4675BB" w:rsidR="009E1C21" w:rsidRPr="0085055B" w:rsidRDefault="009E1C21" w:rsidP="00BD3D9F">
      <w:pPr>
        <w:autoSpaceDE w:val="0"/>
        <w:autoSpaceDN w:val="0"/>
        <w:adjustRightInd w:val="0"/>
        <w:spacing w:before="120" w:line="276" w:lineRule="auto"/>
        <w:rPr>
          <w:rFonts w:eastAsiaTheme="minorHAnsi" w:cs="Calibri"/>
          <w:szCs w:val="20"/>
          <w:lang w:val="en-US"/>
        </w:rPr>
      </w:pPr>
      <w:bookmarkStart w:id="0" w:name="_Hlk67647981"/>
      <w:r w:rsidRPr="0085055B">
        <w:rPr>
          <w:rFonts w:eastAsiaTheme="minorHAnsi" w:cs="Calibri"/>
          <w:szCs w:val="20"/>
          <w:lang w:val="en-US"/>
        </w:rPr>
        <w:t xml:space="preserve">Revenues generated in Africa </w:t>
      </w:r>
      <w:r w:rsidR="004B518D" w:rsidRPr="0085055B">
        <w:rPr>
          <w:rFonts w:eastAsiaTheme="minorHAnsi" w:cs="Calibri"/>
          <w:szCs w:val="20"/>
          <w:lang w:val="en-US"/>
        </w:rPr>
        <w:t>decreased</w:t>
      </w:r>
      <w:r w:rsidRPr="0085055B">
        <w:rPr>
          <w:rFonts w:eastAsiaTheme="minorHAnsi" w:cs="Calibri"/>
          <w:szCs w:val="20"/>
          <w:lang w:val="en-US"/>
        </w:rPr>
        <w:t xml:space="preserve"> by </w:t>
      </w:r>
      <w:r w:rsidR="004B518D" w:rsidRPr="0085055B">
        <w:rPr>
          <w:rFonts w:eastAsiaTheme="minorHAnsi" w:cs="Calibri"/>
          <w:szCs w:val="20"/>
          <w:lang w:val="en-US"/>
        </w:rPr>
        <w:t>40.6</w:t>
      </w:r>
      <w:r w:rsidRPr="0085055B">
        <w:rPr>
          <w:rFonts w:eastAsiaTheme="minorHAnsi" w:cs="Calibri"/>
          <w:szCs w:val="20"/>
          <w:lang w:val="en-US"/>
        </w:rPr>
        <w:t xml:space="preserve">% to CZK </w:t>
      </w:r>
      <w:r w:rsidR="004B518D" w:rsidRPr="0085055B">
        <w:rPr>
          <w:rFonts w:eastAsiaTheme="minorHAnsi" w:cs="Calibri"/>
          <w:szCs w:val="20"/>
          <w:lang w:val="en-US"/>
        </w:rPr>
        <w:t>30.3</w:t>
      </w:r>
      <w:r w:rsidRPr="0085055B">
        <w:rPr>
          <w:rFonts w:eastAsiaTheme="minorHAnsi" w:cs="Calibri"/>
          <w:szCs w:val="20"/>
          <w:lang w:val="en-US"/>
        </w:rPr>
        <w:t xml:space="preserve"> million for the three months end</w:t>
      </w:r>
      <w:r w:rsidR="009E3FA6" w:rsidRPr="0085055B">
        <w:rPr>
          <w:rFonts w:eastAsiaTheme="minorHAnsi" w:cs="Calibri"/>
          <w:szCs w:val="20"/>
          <w:lang w:val="en-US"/>
        </w:rPr>
        <w:t>ing</w:t>
      </w:r>
      <w:r w:rsidRPr="0085055B">
        <w:rPr>
          <w:rFonts w:eastAsiaTheme="minorHAnsi" w:cs="Calibri"/>
          <w:szCs w:val="20"/>
          <w:lang w:val="en-US"/>
        </w:rPr>
        <w:t xml:space="preserve"> March</w:t>
      </w:r>
      <w:r w:rsidR="00A0443C" w:rsidRPr="0085055B">
        <w:rPr>
          <w:rFonts w:eastAsiaTheme="minorHAnsi" w:cs="Calibri"/>
          <w:szCs w:val="20"/>
          <w:lang w:val="en-US"/>
        </w:rPr>
        <w:t xml:space="preserve"> 31,</w:t>
      </w:r>
      <w:r w:rsidRPr="0085055B">
        <w:rPr>
          <w:rFonts w:eastAsiaTheme="minorHAnsi" w:cs="Calibri"/>
          <w:szCs w:val="20"/>
          <w:lang w:val="en-US"/>
        </w:rPr>
        <w:t xml:space="preserve"> </w:t>
      </w:r>
      <w:r w:rsidR="004B518D" w:rsidRPr="0085055B">
        <w:rPr>
          <w:rFonts w:eastAsiaTheme="minorHAnsi" w:cs="Calibri"/>
          <w:szCs w:val="20"/>
          <w:lang w:val="en-US"/>
        </w:rPr>
        <w:t xml:space="preserve">2024, </w:t>
      </w:r>
      <w:r w:rsidR="00193EE8" w:rsidRPr="0085055B">
        <w:rPr>
          <w:rFonts w:eastAsiaTheme="minorHAnsi" w:cs="Calibri"/>
          <w:szCs w:val="20"/>
          <w:lang w:val="en-US"/>
        </w:rPr>
        <w:t>impacted by</w:t>
      </w:r>
      <w:r w:rsidR="004B518D" w:rsidRPr="0085055B">
        <w:rPr>
          <w:rFonts w:eastAsiaTheme="minorHAnsi" w:cs="Calibri"/>
          <w:szCs w:val="20"/>
          <w:lang w:val="en-US"/>
        </w:rPr>
        <w:t xml:space="preserve"> the limited access to export guarantees for African countries</w:t>
      </w:r>
      <w:r w:rsidRPr="0085055B">
        <w:rPr>
          <w:rFonts w:eastAsiaTheme="minorHAnsi" w:cs="Calibri"/>
          <w:szCs w:val="20"/>
          <w:lang w:val="en-US"/>
        </w:rPr>
        <w:t xml:space="preserve">. Revenues generated in Asia </w:t>
      </w:r>
      <w:r w:rsidR="004B518D" w:rsidRPr="0085055B">
        <w:rPr>
          <w:rFonts w:eastAsiaTheme="minorHAnsi" w:cs="Calibri"/>
          <w:szCs w:val="20"/>
          <w:lang w:val="en-US"/>
        </w:rPr>
        <w:t>increased</w:t>
      </w:r>
      <w:r w:rsidRPr="0085055B">
        <w:rPr>
          <w:rFonts w:eastAsiaTheme="minorHAnsi" w:cs="Calibri"/>
          <w:szCs w:val="20"/>
          <w:lang w:val="en-US"/>
        </w:rPr>
        <w:t xml:space="preserve"> y-o-y by </w:t>
      </w:r>
      <w:r w:rsidR="004B518D" w:rsidRPr="0085055B">
        <w:rPr>
          <w:rFonts w:eastAsiaTheme="minorHAnsi" w:cs="Calibri"/>
          <w:szCs w:val="20"/>
          <w:lang w:val="en-US"/>
        </w:rPr>
        <w:t>19.3</w:t>
      </w:r>
      <w:r w:rsidR="005870A3" w:rsidRPr="0085055B">
        <w:rPr>
          <w:rFonts w:eastAsiaTheme="minorHAnsi" w:cs="Calibri"/>
          <w:szCs w:val="20"/>
          <w:lang w:val="en-US"/>
        </w:rPr>
        <w:t>%</w:t>
      </w:r>
      <w:r w:rsidRPr="0085055B">
        <w:rPr>
          <w:rFonts w:eastAsiaTheme="minorHAnsi" w:cs="Calibri"/>
          <w:szCs w:val="20"/>
          <w:lang w:val="en-US"/>
        </w:rPr>
        <w:t xml:space="preserve"> to CZK </w:t>
      </w:r>
      <w:r w:rsidR="004B518D" w:rsidRPr="0085055B">
        <w:rPr>
          <w:rFonts w:eastAsiaTheme="minorHAnsi" w:cs="Calibri"/>
          <w:szCs w:val="20"/>
          <w:lang w:val="en-US"/>
        </w:rPr>
        <w:t>159.1</w:t>
      </w:r>
      <w:r w:rsidRPr="0085055B">
        <w:rPr>
          <w:rFonts w:eastAsiaTheme="minorHAnsi" w:cs="Calibri"/>
          <w:szCs w:val="20"/>
          <w:lang w:val="en-US"/>
        </w:rPr>
        <w:t xml:space="preserve"> million for the three months end</w:t>
      </w:r>
      <w:r w:rsidR="005F438E" w:rsidRPr="0085055B">
        <w:rPr>
          <w:rFonts w:eastAsiaTheme="minorHAnsi" w:cs="Calibri"/>
          <w:szCs w:val="20"/>
          <w:lang w:val="en-US"/>
        </w:rPr>
        <w:t>ing</w:t>
      </w:r>
      <w:r w:rsidRPr="0085055B">
        <w:rPr>
          <w:rFonts w:eastAsiaTheme="minorHAnsi" w:cs="Calibri"/>
          <w:szCs w:val="20"/>
          <w:lang w:val="en-US"/>
        </w:rPr>
        <w:t xml:space="preserve"> March</w:t>
      </w:r>
      <w:r w:rsidR="00A0443C" w:rsidRPr="0085055B">
        <w:rPr>
          <w:rFonts w:eastAsiaTheme="minorHAnsi" w:cs="Calibri"/>
          <w:szCs w:val="20"/>
          <w:lang w:val="en-US"/>
        </w:rPr>
        <w:t xml:space="preserve"> 31,</w:t>
      </w:r>
      <w:r w:rsidRPr="0085055B">
        <w:rPr>
          <w:rFonts w:eastAsiaTheme="minorHAnsi" w:cs="Calibri"/>
          <w:szCs w:val="20"/>
          <w:lang w:val="en-US"/>
        </w:rPr>
        <w:t xml:space="preserve"> 202</w:t>
      </w:r>
      <w:r w:rsidR="004B518D" w:rsidRPr="0085055B">
        <w:rPr>
          <w:rFonts w:eastAsiaTheme="minorHAnsi" w:cs="Calibri"/>
          <w:szCs w:val="20"/>
          <w:lang w:val="en-US"/>
        </w:rPr>
        <w:t>4</w:t>
      </w:r>
      <w:r w:rsidRPr="0085055B">
        <w:rPr>
          <w:rFonts w:eastAsiaTheme="minorHAnsi" w:cs="Calibri"/>
          <w:szCs w:val="20"/>
          <w:lang w:val="en-US"/>
        </w:rPr>
        <w:t xml:space="preserve">. Revenues from sales to other parts of the world reached CZK </w:t>
      </w:r>
      <w:r w:rsidR="004B518D" w:rsidRPr="0085055B">
        <w:rPr>
          <w:rFonts w:eastAsiaTheme="minorHAnsi" w:cs="Calibri"/>
          <w:szCs w:val="20"/>
          <w:lang w:val="en-US"/>
        </w:rPr>
        <w:t>269.5</w:t>
      </w:r>
      <w:r w:rsidRPr="0085055B">
        <w:rPr>
          <w:rFonts w:eastAsiaTheme="minorHAnsi" w:cs="Calibri"/>
          <w:szCs w:val="20"/>
          <w:lang w:val="en-US"/>
        </w:rPr>
        <w:t xml:space="preserve"> million in the first three month</w:t>
      </w:r>
      <w:r w:rsidR="00732523" w:rsidRPr="0085055B">
        <w:rPr>
          <w:rFonts w:eastAsiaTheme="minorHAnsi" w:cs="Calibri"/>
          <w:szCs w:val="20"/>
          <w:lang w:val="en-US"/>
        </w:rPr>
        <w:t>s</w:t>
      </w:r>
      <w:r w:rsidRPr="0085055B">
        <w:rPr>
          <w:rFonts w:eastAsiaTheme="minorHAnsi" w:cs="Calibri"/>
          <w:szCs w:val="20"/>
          <w:lang w:val="en-US"/>
        </w:rPr>
        <w:t xml:space="preserve"> of 202</w:t>
      </w:r>
      <w:r w:rsidR="004B518D" w:rsidRPr="0085055B">
        <w:rPr>
          <w:rFonts w:eastAsiaTheme="minorHAnsi" w:cs="Calibri"/>
          <w:szCs w:val="20"/>
          <w:lang w:val="en-US"/>
        </w:rPr>
        <w:t>4</w:t>
      </w:r>
      <w:r w:rsidR="00A0443C" w:rsidRPr="0085055B">
        <w:rPr>
          <w:rFonts w:eastAsiaTheme="minorHAnsi" w:cs="Calibri"/>
          <w:szCs w:val="20"/>
          <w:lang w:val="en-US"/>
        </w:rPr>
        <w:t>,</w:t>
      </w:r>
      <w:r w:rsidRPr="0085055B">
        <w:rPr>
          <w:rFonts w:eastAsiaTheme="minorHAnsi" w:cs="Calibri"/>
          <w:szCs w:val="20"/>
          <w:lang w:val="en-US"/>
        </w:rPr>
        <w:t xml:space="preserve"> up by </w:t>
      </w:r>
      <w:r w:rsidR="004B518D" w:rsidRPr="0085055B">
        <w:rPr>
          <w:rFonts w:eastAsiaTheme="minorHAnsi" w:cs="Calibri"/>
          <w:szCs w:val="20"/>
          <w:lang w:val="en-US"/>
        </w:rPr>
        <w:t>163.8</w:t>
      </w:r>
      <w:r w:rsidRPr="0085055B">
        <w:rPr>
          <w:rFonts w:eastAsiaTheme="minorHAnsi" w:cs="Calibri"/>
          <w:szCs w:val="20"/>
          <w:lang w:val="en-US"/>
        </w:rPr>
        <w:t>% y</w:t>
      </w:r>
      <w:r w:rsidR="00732523" w:rsidRPr="0085055B">
        <w:rPr>
          <w:rFonts w:eastAsiaTheme="minorHAnsi" w:cs="Calibri"/>
          <w:szCs w:val="20"/>
          <w:lang w:val="en-US"/>
        </w:rPr>
        <w:t>-</w:t>
      </w:r>
      <w:r w:rsidRPr="0085055B">
        <w:rPr>
          <w:rFonts w:eastAsiaTheme="minorHAnsi" w:cs="Calibri"/>
          <w:szCs w:val="20"/>
          <w:lang w:val="en-US"/>
        </w:rPr>
        <w:t>o</w:t>
      </w:r>
      <w:r w:rsidR="00732523" w:rsidRPr="0085055B">
        <w:rPr>
          <w:rFonts w:eastAsiaTheme="minorHAnsi" w:cs="Calibri"/>
          <w:szCs w:val="20"/>
          <w:lang w:val="en-US"/>
        </w:rPr>
        <w:t>-</w:t>
      </w:r>
      <w:r w:rsidRPr="0085055B">
        <w:rPr>
          <w:rFonts w:eastAsiaTheme="minorHAnsi" w:cs="Calibri"/>
          <w:szCs w:val="20"/>
          <w:lang w:val="en-US"/>
        </w:rPr>
        <w:t>y</w:t>
      </w:r>
      <w:r w:rsidR="004B518D" w:rsidRPr="0085055B">
        <w:rPr>
          <w:rFonts w:eastAsiaTheme="minorHAnsi" w:cs="Calibri"/>
          <w:szCs w:val="20"/>
          <w:lang w:val="en-US"/>
        </w:rPr>
        <w:t xml:space="preserve"> due to deliveries to Latin America</w:t>
      </w:r>
      <w:r w:rsidRPr="0085055B">
        <w:rPr>
          <w:rFonts w:eastAsiaTheme="minorHAnsi" w:cs="Calibri"/>
          <w:szCs w:val="20"/>
          <w:lang w:val="en-US"/>
        </w:rPr>
        <w:t>.</w:t>
      </w:r>
    </w:p>
    <w:p w14:paraId="25DBA363" w14:textId="6C7E8B75" w:rsidR="00344DC2" w:rsidRPr="0085055B" w:rsidRDefault="00344DC2" w:rsidP="00BD3D9F">
      <w:pPr>
        <w:autoSpaceDE w:val="0"/>
        <w:autoSpaceDN w:val="0"/>
        <w:adjustRightInd w:val="0"/>
        <w:spacing w:before="120" w:line="276" w:lineRule="auto"/>
        <w:rPr>
          <w:rFonts w:eastAsiaTheme="minorHAnsi" w:cs="Calibri"/>
          <w:szCs w:val="20"/>
          <w:lang w:val="en-US"/>
        </w:rPr>
      </w:pPr>
      <w:r w:rsidRPr="0085055B">
        <w:rPr>
          <w:rFonts w:eastAsiaTheme="minorHAnsi" w:cs="Calibri"/>
          <w:szCs w:val="20"/>
          <w:lang w:val="en-US"/>
        </w:rPr>
        <w:t>The share of regional revenues on the total revenues in the first quarter of 202</w:t>
      </w:r>
      <w:r w:rsidR="004B518D" w:rsidRPr="0085055B">
        <w:rPr>
          <w:rFonts w:eastAsiaTheme="minorHAnsi" w:cs="Calibri"/>
          <w:szCs w:val="20"/>
          <w:lang w:val="en-US"/>
        </w:rPr>
        <w:t>4</w:t>
      </w:r>
      <w:r w:rsidRPr="0085055B">
        <w:rPr>
          <w:rFonts w:eastAsiaTheme="minorHAnsi" w:cs="Calibri"/>
          <w:szCs w:val="20"/>
          <w:lang w:val="en-US"/>
        </w:rPr>
        <w:t xml:space="preserve"> </w:t>
      </w:r>
      <w:r w:rsidR="004B518D" w:rsidRPr="0085055B">
        <w:rPr>
          <w:rFonts w:eastAsiaTheme="minorHAnsi" w:cs="Calibri"/>
          <w:szCs w:val="20"/>
          <w:lang w:val="en-US"/>
        </w:rPr>
        <w:t xml:space="preserve">confirmed the declining trend </w:t>
      </w:r>
      <w:r w:rsidRPr="0085055B">
        <w:rPr>
          <w:rFonts w:eastAsiaTheme="minorHAnsi" w:cs="Calibri"/>
          <w:szCs w:val="20"/>
          <w:lang w:val="en-US"/>
        </w:rPr>
        <w:t>of revenues generated in the United States</w:t>
      </w:r>
      <w:r w:rsidR="004B518D" w:rsidRPr="0085055B">
        <w:rPr>
          <w:rFonts w:eastAsiaTheme="minorHAnsi" w:cs="Calibri"/>
          <w:szCs w:val="20"/>
          <w:lang w:val="en-US"/>
        </w:rPr>
        <w:t xml:space="preserve"> which in the first quarter of 2023</w:t>
      </w:r>
      <w:r w:rsidRPr="0085055B">
        <w:rPr>
          <w:rFonts w:eastAsiaTheme="minorHAnsi" w:cs="Calibri"/>
          <w:szCs w:val="20"/>
          <w:lang w:val="en-US"/>
        </w:rPr>
        <w:t xml:space="preserve"> reached </w:t>
      </w:r>
      <w:r w:rsidR="004B518D" w:rsidRPr="0085055B">
        <w:rPr>
          <w:rFonts w:eastAsiaTheme="minorHAnsi" w:cs="Calibri"/>
          <w:szCs w:val="20"/>
          <w:lang w:val="en-US"/>
        </w:rPr>
        <w:t>54.2</w:t>
      </w:r>
      <w:r w:rsidRPr="0085055B">
        <w:rPr>
          <w:rFonts w:eastAsiaTheme="minorHAnsi" w:cs="Calibri"/>
          <w:szCs w:val="20"/>
          <w:lang w:val="en-US"/>
        </w:rPr>
        <w:t xml:space="preserve">% of total revenues and </w:t>
      </w:r>
      <w:r w:rsidR="004B518D" w:rsidRPr="0085055B">
        <w:rPr>
          <w:rFonts w:eastAsiaTheme="minorHAnsi" w:cs="Calibri"/>
          <w:szCs w:val="20"/>
          <w:lang w:val="en-US"/>
        </w:rPr>
        <w:t>in the first quarter of 2024 declined to 47.7%.</w:t>
      </w:r>
    </w:p>
    <w:p w14:paraId="46F4D76F" w14:textId="5197E5CB" w:rsidR="00E06F88" w:rsidRPr="0085055B" w:rsidRDefault="00EC7BF9" w:rsidP="00E06F88">
      <w:pPr>
        <w:pStyle w:val="DocText"/>
        <w:rPr>
          <w:rStyle w:val="Zdraznn"/>
          <w:szCs w:val="20"/>
          <w:lang w:val="en-US"/>
        </w:rPr>
      </w:pPr>
      <w:r w:rsidRPr="0085055B">
        <w:rPr>
          <w:rStyle w:val="Zdraznn"/>
          <w:szCs w:val="20"/>
          <w:lang w:val="en-US"/>
        </w:rPr>
        <w:t xml:space="preserve">Breakdown of </w:t>
      </w:r>
      <w:r w:rsidR="00E06F88" w:rsidRPr="0085055B">
        <w:rPr>
          <w:rStyle w:val="Zdraznn"/>
          <w:szCs w:val="20"/>
          <w:lang w:val="en-US"/>
        </w:rPr>
        <w:t>Group’s revenues for the reported periods by regions:</w:t>
      </w:r>
    </w:p>
    <w:tbl>
      <w:tblPr>
        <w:tblW w:w="4999" w:type="pct"/>
        <w:tblLook w:val="04A0" w:firstRow="1" w:lastRow="0" w:firstColumn="1" w:lastColumn="0" w:noHBand="0" w:noVBand="1"/>
      </w:tblPr>
      <w:tblGrid>
        <w:gridCol w:w="2696"/>
        <w:gridCol w:w="1773"/>
        <w:gridCol w:w="1443"/>
        <w:gridCol w:w="1177"/>
        <w:gridCol w:w="1697"/>
      </w:tblGrid>
      <w:tr w:rsidR="00E06F88" w:rsidRPr="0085055B" w14:paraId="737B8FF1" w14:textId="77777777" w:rsidTr="00032590">
        <w:trPr>
          <w:trHeight w:val="428"/>
        </w:trPr>
        <w:tc>
          <w:tcPr>
            <w:tcW w:w="1534" w:type="pct"/>
          </w:tcPr>
          <w:p w14:paraId="0A04E466" w14:textId="65E0D58D" w:rsidR="00E06F88" w:rsidRPr="0085055B" w:rsidRDefault="00E06F88" w:rsidP="00E06F88">
            <w:pPr>
              <w:pStyle w:val="ClientNormal"/>
              <w:spacing w:before="120"/>
              <w:rPr>
                <w:rFonts w:ascii="Atyp Colt CZ" w:eastAsia="Calibri" w:hAnsi="Atyp Colt CZ"/>
                <w:sz w:val="16"/>
                <w:szCs w:val="16"/>
                <w:lang w:val="en-US"/>
              </w:rPr>
            </w:pPr>
            <w:r w:rsidRPr="0085055B">
              <w:rPr>
                <w:rFonts w:ascii="Atyp Colt CZ" w:eastAsia="Calibri" w:hAnsi="Atyp Colt CZ" w:cs="Calibri"/>
                <w:sz w:val="16"/>
                <w:szCs w:val="16"/>
                <w:lang w:val="en-US"/>
              </w:rPr>
              <w:t>(in CZK thousand)</w:t>
            </w:r>
          </w:p>
        </w:tc>
        <w:tc>
          <w:tcPr>
            <w:tcW w:w="1009" w:type="pct"/>
            <w:vAlign w:val="center"/>
          </w:tcPr>
          <w:p w14:paraId="4B8F5219" w14:textId="4EB9F8E1" w:rsidR="00E06F88" w:rsidRPr="0085055B" w:rsidRDefault="00E06F88" w:rsidP="00E06F88">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Q1 202</w:t>
            </w:r>
            <w:r w:rsidR="004B518D" w:rsidRPr="0085055B">
              <w:rPr>
                <w:rFonts w:ascii="Atyp Colt CZ" w:eastAsia="Calibri" w:hAnsi="Atyp Colt CZ"/>
                <w:sz w:val="16"/>
                <w:szCs w:val="16"/>
                <w:lang w:val="en-US"/>
              </w:rPr>
              <w:t>4</w:t>
            </w:r>
          </w:p>
        </w:tc>
        <w:tc>
          <w:tcPr>
            <w:tcW w:w="821" w:type="pct"/>
            <w:vAlign w:val="center"/>
          </w:tcPr>
          <w:p w14:paraId="544D76C7" w14:textId="099DF9B5" w:rsidR="00E06F88" w:rsidRPr="0085055B" w:rsidRDefault="00E06F88" w:rsidP="00E06F88">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Q1 20</w:t>
            </w:r>
            <w:r w:rsidR="00032590" w:rsidRPr="0085055B">
              <w:rPr>
                <w:rFonts w:ascii="Atyp Colt CZ" w:eastAsia="Calibri" w:hAnsi="Atyp Colt CZ"/>
                <w:sz w:val="16"/>
                <w:szCs w:val="16"/>
                <w:lang w:val="en-US"/>
              </w:rPr>
              <w:t>2</w:t>
            </w:r>
            <w:r w:rsidR="004B518D" w:rsidRPr="0085055B">
              <w:rPr>
                <w:rFonts w:ascii="Atyp Colt CZ" w:eastAsia="Calibri" w:hAnsi="Atyp Colt CZ"/>
                <w:sz w:val="16"/>
                <w:szCs w:val="16"/>
                <w:lang w:val="en-US"/>
              </w:rPr>
              <w:t>3</w:t>
            </w:r>
          </w:p>
        </w:tc>
        <w:tc>
          <w:tcPr>
            <w:tcW w:w="670" w:type="pct"/>
          </w:tcPr>
          <w:p w14:paraId="3AD28723" w14:textId="45799FE5" w:rsidR="00E06F88" w:rsidRPr="0085055B" w:rsidRDefault="00E06F88" w:rsidP="00E06F88">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Change in %</w:t>
            </w:r>
          </w:p>
        </w:tc>
        <w:tc>
          <w:tcPr>
            <w:tcW w:w="966" w:type="pct"/>
          </w:tcPr>
          <w:p w14:paraId="39971132" w14:textId="59B03409" w:rsidR="00E06F88" w:rsidRPr="0085055B" w:rsidRDefault="00E06F88" w:rsidP="00E06F88">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Share on total revenues in %</w:t>
            </w:r>
          </w:p>
        </w:tc>
      </w:tr>
      <w:tr w:rsidR="00AD3106" w:rsidRPr="0085055B" w14:paraId="664E6BE4" w14:textId="77777777" w:rsidTr="003D7EF6">
        <w:trPr>
          <w:trHeight w:val="283"/>
        </w:trPr>
        <w:tc>
          <w:tcPr>
            <w:tcW w:w="1534" w:type="pct"/>
            <w:vAlign w:val="bottom"/>
          </w:tcPr>
          <w:p w14:paraId="33295435" w14:textId="7D6D7D40"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Czech Republic</w:t>
            </w:r>
          </w:p>
        </w:tc>
        <w:tc>
          <w:tcPr>
            <w:tcW w:w="1009" w:type="pct"/>
            <w:vAlign w:val="bottom"/>
          </w:tcPr>
          <w:p w14:paraId="57E91BB2" w14:textId="60E8FEB4"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628,227</w:t>
            </w:r>
          </w:p>
        </w:tc>
        <w:tc>
          <w:tcPr>
            <w:tcW w:w="821" w:type="pct"/>
            <w:vAlign w:val="center"/>
          </w:tcPr>
          <w:p w14:paraId="24D85A3A" w14:textId="0790D3C0"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491,319</w:t>
            </w:r>
          </w:p>
        </w:tc>
        <w:tc>
          <w:tcPr>
            <w:tcW w:w="670" w:type="pct"/>
            <w:vAlign w:val="bottom"/>
          </w:tcPr>
          <w:p w14:paraId="1B0A1F64" w14:textId="2575159F"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27.9%</w:t>
            </w:r>
          </w:p>
        </w:tc>
        <w:tc>
          <w:tcPr>
            <w:tcW w:w="966" w:type="pct"/>
            <w:vAlign w:val="bottom"/>
          </w:tcPr>
          <w:p w14:paraId="6E62FB45" w14:textId="17CB4803"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17.1%</w:t>
            </w:r>
          </w:p>
        </w:tc>
      </w:tr>
      <w:tr w:rsidR="00AD3106" w:rsidRPr="0085055B" w14:paraId="404D4186" w14:textId="77777777" w:rsidTr="003D7EF6">
        <w:trPr>
          <w:trHeight w:val="283"/>
        </w:trPr>
        <w:tc>
          <w:tcPr>
            <w:tcW w:w="1534" w:type="pct"/>
            <w:vAlign w:val="bottom"/>
          </w:tcPr>
          <w:p w14:paraId="60207572" w14:textId="6C6B0A31"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USA</w:t>
            </w:r>
          </w:p>
        </w:tc>
        <w:tc>
          <w:tcPr>
            <w:tcW w:w="1009" w:type="pct"/>
            <w:vAlign w:val="bottom"/>
          </w:tcPr>
          <w:p w14:paraId="08493069" w14:textId="01DFA13E"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1,749,145</w:t>
            </w:r>
          </w:p>
        </w:tc>
        <w:tc>
          <w:tcPr>
            <w:tcW w:w="821" w:type="pct"/>
            <w:vAlign w:val="center"/>
          </w:tcPr>
          <w:p w14:paraId="7AD2E576" w14:textId="691AD3F1"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1,632,944</w:t>
            </w:r>
          </w:p>
        </w:tc>
        <w:tc>
          <w:tcPr>
            <w:tcW w:w="670" w:type="pct"/>
            <w:vAlign w:val="bottom"/>
          </w:tcPr>
          <w:p w14:paraId="07B9DE5A" w14:textId="6C9646FF"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7.1%</w:t>
            </w:r>
          </w:p>
        </w:tc>
        <w:tc>
          <w:tcPr>
            <w:tcW w:w="966" w:type="pct"/>
            <w:vAlign w:val="bottom"/>
          </w:tcPr>
          <w:p w14:paraId="0093C731" w14:textId="5C2E8F68"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47.7%</w:t>
            </w:r>
          </w:p>
        </w:tc>
      </w:tr>
      <w:tr w:rsidR="00AD3106" w:rsidRPr="0085055B" w14:paraId="7C56420D" w14:textId="77777777" w:rsidTr="003D7EF6">
        <w:trPr>
          <w:trHeight w:val="283"/>
        </w:trPr>
        <w:tc>
          <w:tcPr>
            <w:tcW w:w="1534" w:type="pct"/>
            <w:vAlign w:val="bottom"/>
          </w:tcPr>
          <w:p w14:paraId="211F415B" w14:textId="6172E313"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Canada</w:t>
            </w:r>
          </w:p>
        </w:tc>
        <w:tc>
          <w:tcPr>
            <w:tcW w:w="1009" w:type="pct"/>
            <w:vAlign w:val="bottom"/>
          </w:tcPr>
          <w:p w14:paraId="5B082D5E" w14:textId="68A0701E"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409,384</w:t>
            </w:r>
          </w:p>
        </w:tc>
        <w:tc>
          <w:tcPr>
            <w:tcW w:w="821" w:type="pct"/>
            <w:vAlign w:val="center"/>
          </w:tcPr>
          <w:p w14:paraId="63C1671B" w14:textId="02FB81C5"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219,904</w:t>
            </w:r>
          </w:p>
        </w:tc>
        <w:tc>
          <w:tcPr>
            <w:tcW w:w="670" w:type="pct"/>
            <w:vAlign w:val="bottom"/>
          </w:tcPr>
          <w:p w14:paraId="0D9D6F99" w14:textId="014082D8"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86.2%</w:t>
            </w:r>
          </w:p>
        </w:tc>
        <w:tc>
          <w:tcPr>
            <w:tcW w:w="966" w:type="pct"/>
            <w:vAlign w:val="bottom"/>
          </w:tcPr>
          <w:p w14:paraId="6BCEEC90" w14:textId="22E847D3"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11.2%</w:t>
            </w:r>
          </w:p>
        </w:tc>
      </w:tr>
      <w:tr w:rsidR="00AD3106" w:rsidRPr="0085055B" w14:paraId="4308A482" w14:textId="77777777" w:rsidTr="0085055B">
        <w:trPr>
          <w:trHeight w:val="283"/>
        </w:trPr>
        <w:tc>
          <w:tcPr>
            <w:tcW w:w="1534" w:type="pct"/>
            <w:vAlign w:val="bottom"/>
          </w:tcPr>
          <w:p w14:paraId="740E319F" w14:textId="0F7E31B0"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lastRenderedPageBreak/>
              <w:t>Europe (excl. the Czech Republic)</w:t>
            </w:r>
          </w:p>
        </w:tc>
        <w:tc>
          <w:tcPr>
            <w:tcW w:w="1009" w:type="pct"/>
            <w:vAlign w:val="bottom"/>
          </w:tcPr>
          <w:p w14:paraId="3277236F" w14:textId="310214B9"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421,412</w:t>
            </w:r>
          </w:p>
        </w:tc>
        <w:tc>
          <w:tcPr>
            <w:tcW w:w="821" w:type="pct"/>
            <w:vAlign w:val="bottom"/>
          </w:tcPr>
          <w:p w14:paraId="1F972AB3" w14:textId="01A7A026" w:rsidR="00AD3106" w:rsidRPr="0085055B" w:rsidRDefault="00AD3106" w:rsidP="005F438E">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381,785</w:t>
            </w:r>
          </w:p>
        </w:tc>
        <w:tc>
          <w:tcPr>
            <w:tcW w:w="670" w:type="pct"/>
            <w:vAlign w:val="bottom"/>
          </w:tcPr>
          <w:p w14:paraId="054DD28C" w14:textId="44183BB3"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10.4%</w:t>
            </w:r>
          </w:p>
        </w:tc>
        <w:tc>
          <w:tcPr>
            <w:tcW w:w="966" w:type="pct"/>
            <w:vAlign w:val="bottom"/>
          </w:tcPr>
          <w:p w14:paraId="1592FD35" w14:textId="70B72365"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11.5%</w:t>
            </w:r>
          </w:p>
        </w:tc>
      </w:tr>
      <w:tr w:rsidR="00AD3106" w:rsidRPr="0085055B" w14:paraId="799BFE76" w14:textId="77777777" w:rsidTr="003D7EF6">
        <w:trPr>
          <w:trHeight w:val="283"/>
        </w:trPr>
        <w:tc>
          <w:tcPr>
            <w:tcW w:w="1534" w:type="pct"/>
            <w:vAlign w:val="bottom"/>
          </w:tcPr>
          <w:p w14:paraId="17CB6EC1" w14:textId="7744E1FC"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Africa</w:t>
            </w:r>
          </w:p>
        </w:tc>
        <w:tc>
          <w:tcPr>
            <w:tcW w:w="1009" w:type="pct"/>
            <w:vAlign w:val="bottom"/>
          </w:tcPr>
          <w:p w14:paraId="2151A276" w14:textId="6CD8C67B"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30,310</w:t>
            </w:r>
          </w:p>
        </w:tc>
        <w:tc>
          <w:tcPr>
            <w:tcW w:w="821" w:type="pct"/>
            <w:vAlign w:val="center"/>
          </w:tcPr>
          <w:p w14:paraId="53D255E5" w14:textId="1B29FDB5"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51,043</w:t>
            </w:r>
          </w:p>
        </w:tc>
        <w:tc>
          <w:tcPr>
            <w:tcW w:w="670" w:type="pct"/>
            <w:vAlign w:val="bottom"/>
          </w:tcPr>
          <w:p w14:paraId="4736018A" w14:textId="0F50EA93"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(40.6)%</w:t>
            </w:r>
          </w:p>
        </w:tc>
        <w:tc>
          <w:tcPr>
            <w:tcW w:w="966" w:type="pct"/>
            <w:vAlign w:val="bottom"/>
          </w:tcPr>
          <w:p w14:paraId="7DE5F2AE" w14:textId="3CD5C849"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0.8%</w:t>
            </w:r>
          </w:p>
        </w:tc>
      </w:tr>
      <w:tr w:rsidR="00AD3106" w:rsidRPr="0085055B" w14:paraId="777CD43C" w14:textId="77777777" w:rsidTr="003D7EF6">
        <w:trPr>
          <w:trHeight w:val="283"/>
        </w:trPr>
        <w:tc>
          <w:tcPr>
            <w:tcW w:w="1534" w:type="pct"/>
            <w:vAlign w:val="bottom"/>
          </w:tcPr>
          <w:p w14:paraId="1B270CDD" w14:textId="289E7177"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Asia</w:t>
            </w:r>
          </w:p>
        </w:tc>
        <w:tc>
          <w:tcPr>
            <w:tcW w:w="1009" w:type="pct"/>
            <w:vAlign w:val="bottom"/>
          </w:tcPr>
          <w:p w14:paraId="27587184" w14:textId="557B39D2"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159,124</w:t>
            </w:r>
          </w:p>
        </w:tc>
        <w:tc>
          <w:tcPr>
            <w:tcW w:w="821" w:type="pct"/>
            <w:vAlign w:val="center"/>
          </w:tcPr>
          <w:p w14:paraId="0707AB59" w14:textId="7BA8CA22" w:rsidR="00AD3106" w:rsidRPr="0085055B" w:rsidRDefault="00AD3106" w:rsidP="00AD3106">
            <w:pPr>
              <w:pStyle w:val="ClientNormal"/>
              <w:spacing w:before="120"/>
              <w:jc w:val="right"/>
              <w:rPr>
                <w:rFonts w:ascii="Atyp Colt CZ" w:hAnsi="Atyp Colt CZ" w:cs="Calibri"/>
                <w:sz w:val="16"/>
                <w:szCs w:val="16"/>
                <w:lang w:val="en-US"/>
              </w:rPr>
            </w:pPr>
            <w:r w:rsidRPr="0085055B">
              <w:rPr>
                <w:rFonts w:ascii="Atyp Colt CZ" w:hAnsi="Atyp Colt CZ" w:cs="Calibri"/>
                <w:sz w:val="16"/>
                <w:szCs w:val="16"/>
                <w:lang w:val="en-US"/>
              </w:rPr>
              <w:t>133,421</w:t>
            </w:r>
          </w:p>
        </w:tc>
        <w:tc>
          <w:tcPr>
            <w:tcW w:w="670" w:type="pct"/>
            <w:vAlign w:val="bottom"/>
          </w:tcPr>
          <w:p w14:paraId="4C45395E" w14:textId="70717641" w:rsidR="00AD3106" w:rsidRPr="0085055B" w:rsidRDefault="00AD3106" w:rsidP="00AD3106">
            <w:pPr>
              <w:pStyle w:val="ClientNormal"/>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19.3%</w:t>
            </w:r>
          </w:p>
        </w:tc>
        <w:tc>
          <w:tcPr>
            <w:tcW w:w="966" w:type="pct"/>
            <w:vAlign w:val="bottom"/>
          </w:tcPr>
          <w:p w14:paraId="16B6A24B" w14:textId="4BD27E5E" w:rsidR="00AD3106" w:rsidRPr="0085055B" w:rsidRDefault="00AD3106" w:rsidP="00AD3106">
            <w:pPr>
              <w:pStyle w:val="ClientNormal"/>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4.3%</w:t>
            </w:r>
          </w:p>
        </w:tc>
      </w:tr>
      <w:tr w:rsidR="00AD3106" w:rsidRPr="0085055B" w14:paraId="0FC24F4D" w14:textId="77777777" w:rsidTr="003D7EF6">
        <w:trPr>
          <w:trHeight w:val="283"/>
        </w:trPr>
        <w:tc>
          <w:tcPr>
            <w:tcW w:w="1534" w:type="pct"/>
            <w:vAlign w:val="bottom"/>
          </w:tcPr>
          <w:p w14:paraId="609BAC0C" w14:textId="6173B1E1" w:rsidR="00AD3106" w:rsidRPr="0085055B" w:rsidRDefault="00AD3106" w:rsidP="00AD3106">
            <w:pPr>
              <w:pStyle w:val="ClientNormal"/>
              <w:tabs>
                <w:tab w:val="left" w:leader="dot" w:pos="5264"/>
              </w:tabs>
              <w:spacing w:before="120" w:line="260" w:lineRule="atLeast"/>
              <w:rPr>
                <w:rFonts w:ascii="Atyp Colt CZ" w:eastAsia="Calibri" w:hAnsi="Atyp Colt CZ"/>
                <w:sz w:val="16"/>
                <w:szCs w:val="16"/>
                <w:lang w:val="en-US"/>
              </w:rPr>
            </w:pPr>
            <w:r w:rsidRPr="0085055B">
              <w:rPr>
                <w:rFonts w:ascii="Atyp Colt CZ" w:eastAsia="Calibri" w:hAnsi="Atyp Colt CZ" w:cs="Calibri"/>
                <w:sz w:val="16"/>
                <w:szCs w:val="16"/>
                <w:lang w:val="en-US"/>
              </w:rPr>
              <w:t>Other</w:t>
            </w:r>
          </w:p>
        </w:tc>
        <w:tc>
          <w:tcPr>
            <w:tcW w:w="1009" w:type="pct"/>
            <w:vAlign w:val="bottom"/>
          </w:tcPr>
          <w:p w14:paraId="5A6FD551" w14:textId="2E4016BC" w:rsidR="00AD3106" w:rsidRPr="0085055B" w:rsidRDefault="00AD3106" w:rsidP="00AD3106">
            <w:pPr>
              <w:pStyle w:val="ClientNormal"/>
              <w:pBdr>
                <w:bottom w:val="single" w:sz="4" w:space="1" w:color="auto"/>
              </w:pBdr>
              <w:spacing w:before="120"/>
              <w:jc w:val="right"/>
              <w:rPr>
                <w:rFonts w:ascii="Atyp Colt CZ" w:hAnsi="Atyp Colt CZ" w:cs="Calibri"/>
                <w:sz w:val="16"/>
                <w:szCs w:val="16"/>
                <w:lang w:val="en-US"/>
              </w:rPr>
            </w:pPr>
            <w:r w:rsidRPr="0085055B">
              <w:rPr>
                <w:rFonts w:ascii="Atyp Colt CZ" w:hAnsi="Atyp Colt CZ" w:cs="Calibri"/>
                <w:sz w:val="16"/>
                <w:szCs w:val="16"/>
                <w:lang w:val="en-US"/>
              </w:rPr>
              <w:t>269,484</w:t>
            </w:r>
          </w:p>
        </w:tc>
        <w:tc>
          <w:tcPr>
            <w:tcW w:w="821" w:type="pct"/>
            <w:vAlign w:val="center"/>
          </w:tcPr>
          <w:p w14:paraId="0F5762D7" w14:textId="345694DF" w:rsidR="00AD3106" w:rsidRPr="0085055B" w:rsidRDefault="00AD3106" w:rsidP="00AD3106">
            <w:pPr>
              <w:pStyle w:val="ClientNormal"/>
              <w:pBdr>
                <w:bottom w:val="single" w:sz="4" w:space="1" w:color="auto"/>
              </w:pBdr>
              <w:spacing w:before="120"/>
              <w:jc w:val="right"/>
              <w:rPr>
                <w:rFonts w:ascii="Atyp Colt CZ" w:hAnsi="Atyp Colt CZ" w:cs="Calibri"/>
                <w:sz w:val="16"/>
                <w:szCs w:val="16"/>
                <w:lang w:val="en-US"/>
              </w:rPr>
            </w:pPr>
            <w:r w:rsidRPr="0085055B">
              <w:rPr>
                <w:rFonts w:ascii="Atyp Colt CZ" w:hAnsi="Atyp Colt CZ" w:cs="Calibri"/>
                <w:sz w:val="16"/>
                <w:szCs w:val="16"/>
                <w:lang w:val="en-US"/>
              </w:rPr>
              <w:t>102,140</w:t>
            </w:r>
          </w:p>
        </w:tc>
        <w:tc>
          <w:tcPr>
            <w:tcW w:w="670" w:type="pct"/>
            <w:vAlign w:val="bottom"/>
          </w:tcPr>
          <w:p w14:paraId="2677807D" w14:textId="6546C592" w:rsidR="00AD3106" w:rsidRPr="0085055B" w:rsidRDefault="00AD3106" w:rsidP="00AD3106">
            <w:pPr>
              <w:pStyle w:val="ClientNormal"/>
              <w:pBdr>
                <w:bottom w:val="single" w:sz="4" w:space="1" w:color="auto"/>
              </w:pBdr>
              <w:spacing w:before="120"/>
              <w:jc w:val="right"/>
              <w:rPr>
                <w:rFonts w:ascii="Atyp Colt CZ" w:hAnsi="Atyp Colt CZ" w:cs="Calibri"/>
                <w:color w:val="000000"/>
                <w:sz w:val="16"/>
                <w:szCs w:val="16"/>
                <w:lang w:val="en-US"/>
              </w:rPr>
            </w:pPr>
            <w:r w:rsidRPr="0085055B">
              <w:rPr>
                <w:rFonts w:ascii="Atyp Colt CZ" w:hAnsi="Atyp Colt CZ" w:cs="Calibri"/>
                <w:sz w:val="16"/>
                <w:szCs w:val="16"/>
                <w:lang w:val="en-US"/>
              </w:rPr>
              <w:t>163.8%</w:t>
            </w:r>
          </w:p>
        </w:tc>
        <w:tc>
          <w:tcPr>
            <w:tcW w:w="966" w:type="pct"/>
            <w:vAlign w:val="bottom"/>
          </w:tcPr>
          <w:p w14:paraId="5188FF98" w14:textId="671661AE" w:rsidR="00AD3106" w:rsidRPr="0085055B" w:rsidRDefault="00AD3106" w:rsidP="00AD3106">
            <w:pPr>
              <w:pStyle w:val="ClientNormal"/>
              <w:pBdr>
                <w:bottom w:val="single" w:sz="4" w:space="1" w:color="auto"/>
              </w:pBdr>
              <w:spacing w:before="120"/>
              <w:jc w:val="right"/>
              <w:rPr>
                <w:rFonts w:ascii="Atyp Colt CZ" w:hAnsi="Atyp Colt CZ" w:cs="Calibri"/>
                <w:i/>
                <w:iCs/>
                <w:color w:val="000000"/>
                <w:sz w:val="16"/>
                <w:szCs w:val="16"/>
                <w:lang w:val="en-US"/>
              </w:rPr>
            </w:pPr>
            <w:r w:rsidRPr="0085055B">
              <w:rPr>
                <w:rFonts w:ascii="Atyp Colt CZ" w:hAnsi="Atyp Colt CZ" w:cs="Calibri"/>
                <w:sz w:val="16"/>
                <w:szCs w:val="16"/>
                <w:lang w:val="en-US"/>
              </w:rPr>
              <w:t>7.4%</w:t>
            </w:r>
          </w:p>
        </w:tc>
      </w:tr>
      <w:tr w:rsidR="00AD3106" w:rsidRPr="0085055B" w14:paraId="7B0B74E0" w14:textId="77777777" w:rsidTr="003D7EF6">
        <w:trPr>
          <w:trHeight w:val="283"/>
        </w:trPr>
        <w:tc>
          <w:tcPr>
            <w:tcW w:w="1534" w:type="pct"/>
            <w:vAlign w:val="bottom"/>
          </w:tcPr>
          <w:p w14:paraId="38B3CB07" w14:textId="2E7BE1CD" w:rsidR="00AD3106" w:rsidRPr="0085055B" w:rsidRDefault="00AD3106" w:rsidP="00AD3106">
            <w:pPr>
              <w:pStyle w:val="ClientNormal"/>
              <w:tabs>
                <w:tab w:val="left" w:leader="dot" w:pos="5264"/>
              </w:tabs>
              <w:spacing w:before="120" w:line="260" w:lineRule="atLeast"/>
              <w:rPr>
                <w:rFonts w:ascii="Atyp Colt CZ" w:eastAsia="Calibri" w:hAnsi="Atyp Colt CZ"/>
                <w:b/>
                <w:bCs/>
                <w:sz w:val="16"/>
                <w:szCs w:val="16"/>
                <w:lang w:val="en-US"/>
              </w:rPr>
            </w:pPr>
            <w:r w:rsidRPr="0085055B">
              <w:rPr>
                <w:rFonts w:ascii="Atyp Colt CZ" w:eastAsia="Calibri" w:hAnsi="Atyp Colt CZ" w:cs="Calibri"/>
                <w:b/>
                <w:bCs/>
                <w:sz w:val="16"/>
                <w:szCs w:val="16"/>
                <w:lang w:val="en-US"/>
              </w:rPr>
              <w:t>Total</w:t>
            </w:r>
          </w:p>
        </w:tc>
        <w:tc>
          <w:tcPr>
            <w:tcW w:w="1009" w:type="pct"/>
          </w:tcPr>
          <w:p w14:paraId="510E1B40" w14:textId="2EB33431" w:rsidR="00AD3106" w:rsidRPr="0085055B" w:rsidRDefault="00AD3106" w:rsidP="00AD3106">
            <w:pPr>
              <w:pStyle w:val="ClientNormal"/>
              <w:pBdr>
                <w:bottom w:val="double" w:sz="4" w:space="1" w:color="auto"/>
              </w:pBdr>
              <w:spacing w:before="120"/>
              <w:jc w:val="right"/>
              <w:rPr>
                <w:rFonts w:ascii="Atyp Colt CZ" w:hAnsi="Atyp Colt CZ" w:cs="Calibri"/>
                <w:b/>
                <w:bCs/>
                <w:sz w:val="16"/>
                <w:szCs w:val="16"/>
                <w:lang w:val="en-US"/>
              </w:rPr>
            </w:pPr>
            <w:r w:rsidRPr="0085055B">
              <w:rPr>
                <w:rFonts w:ascii="Atyp Colt CZ" w:hAnsi="Atyp Colt CZ"/>
                <w:b/>
                <w:bCs/>
                <w:sz w:val="16"/>
                <w:szCs w:val="16"/>
                <w:lang w:val="en-US"/>
              </w:rPr>
              <w:t>3,667,086</w:t>
            </w:r>
          </w:p>
        </w:tc>
        <w:tc>
          <w:tcPr>
            <w:tcW w:w="821" w:type="pct"/>
            <w:vAlign w:val="center"/>
          </w:tcPr>
          <w:p w14:paraId="2538464F" w14:textId="47864E0D" w:rsidR="00AD3106" w:rsidRPr="0085055B" w:rsidRDefault="00AD3106" w:rsidP="00AD3106">
            <w:pPr>
              <w:pStyle w:val="ClientNormal"/>
              <w:pBdr>
                <w:bottom w:val="double" w:sz="4" w:space="1" w:color="auto"/>
              </w:pBdr>
              <w:spacing w:before="120"/>
              <w:jc w:val="right"/>
              <w:rPr>
                <w:rFonts w:ascii="Atyp Colt CZ" w:hAnsi="Atyp Colt CZ" w:cs="Calibri"/>
                <w:b/>
                <w:bCs/>
                <w:sz w:val="16"/>
                <w:szCs w:val="16"/>
                <w:lang w:val="en-US"/>
              </w:rPr>
            </w:pPr>
            <w:r w:rsidRPr="0085055B">
              <w:rPr>
                <w:rFonts w:ascii="Atyp Colt CZ" w:hAnsi="Atyp Colt CZ" w:cs="Calibri"/>
                <w:b/>
                <w:bCs/>
                <w:sz w:val="16"/>
                <w:szCs w:val="16"/>
                <w:lang w:val="en-US"/>
              </w:rPr>
              <w:t>3,012,556</w:t>
            </w:r>
          </w:p>
        </w:tc>
        <w:tc>
          <w:tcPr>
            <w:tcW w:w="670" w:type="pct"/>
          </w:tcPr>
          <w:p w14:paraId="7AEE194A" w14:textId="60AE42C6" w:rsidR="00AD3106" w:rsidRPr="0085055B" w:rsidRDefault="00AD3106" w:rsidP="00AD3106">
            <w:pPr>
              <w:pStyle w:val="ClientNormal"/>
              <w:pBdr>
                <w:bottom w:val="double" w:sz="4" w:space="1" w:color="auto"/>
              </w:pBdr>
              <w:spacing w:before="120"/>
              <w:jc w:val="right"/>
              <w:rPr>
                <w:rFonts w:ascii="Atyp Colt CZ" w:hAnsi="Atyp Colt CZ" w:cs="Calibri"/>
                <w:b/>
                <w:bCs/>
                <w:color w:val="000000"/>
                <w:sz w:val="16"/>
                <w:szCs w:val="16"/>
                <w:lang w:val="en-US"/>
              </w:rPr>
            </w:pPr>
            <w:r w:rsidRPr="0085055B">
              <w:rPr>
                <w:rFonts w:ascii="Atyp Colt CZ" w:hAnsi="Atyp Colt CZ"/>
                <w:b/>
                <w:bCs/>
                <w:sz w:val="16"/>
                <w:szCs w:val="16"/>
                <w:lang w:val="en-US"/>
              </w:rPr>
              <w:t>21.7%</w:t>
            </w:r>
          </w:p>
        </w:tc>
        <w:tc>
          <w:tcPr>
            <w:tcW w:w="966" w:type="pct"/>
            <w:vAlign w:val="bottom"/>
          </w:tcPr>
          <w:p w14:paraId="1B4D2EDC" w14:textId="18449BB8" w:rsidR="00AD3106" w:rsidRPr="0085055B" w:rsidRDefault="00AD3106" w:rsidP="00AD3106">
            <w:pPr>
              <w:pStyle w:val="ClientNormal"/>
              <w:pBdr>
                <w:bottom w:val="double" w:sz="4" w:space="1" w:color="auto"/>
              </w:pBdr>
              <w:spacing w:before="120"/>
              <w:jc w:val="right"/>
              <w:rPr>
                <w:rFonts w:ascii="Atyp Colt CZ" w:hAnsi="Atyp Colt CZ" w:cs="Calibri"/>
                <w:b/>
                <w:bCs/>
                <w:i/>
                <w:iCs/>
                <w:color w:val="000000"/>
                <w:sz w:val="16"/>
                <w:szCs w:val="16"/>
                <w:lang w:val="en-US"/>
              </w:rPr>
            </w:pPr>
            <w:r w:rsidRPr="0085055B">
              <w:rPr>
                <w:rFonts w:ascii="Atyp Colt CZ" w:hAnsi="Atyp Colt CZ" w:cs="Calibri"/>
                <w:b/>
                <w:bCs/>
                <w:i/>
                <w:iCs/>
                <w:color w:val="000000"/>
                <w:sz w:val="16"/>
                <w:szCs w:val="16"/>
                <w:lang w:val="en-US"/>
              </w:rPr>
              <w:t>100.0%</w:t>
            </w:r>
          </w:p>
        </w:tc>
      </w:tr>
      <w:bookmarkEnd w:id="0"/>
    </w:tbl>
    <w:p w14:paraId="018FB61B" w14:textId="2D09984B" w:rsidR="006570D5" w:rsidRPr="0085055B" w:rsidRDefault="006570D5" w:rsidP="004261DC">
      <w:pPr>
        <w:numPr>
          <w:ilvl w:val="0"/>
          <w:numId w:val="11"/>
        </w:numPr>
        <w:spacing w:before="120" w:after="0" w:line="259" w:lineRule="auto"/>
        <w:rPr>
          <w:rFonts w:eastAsia="Calibri"/>
          <w:szCs w:val="20"/>
          <w:lang w:val="en-US"/>
        </w:rPr>
      </w:pPr>
    </w:p>
    <w:p w14:paraId="27C880E5" w14:textId="090BF238" w:rsidR="00616D6A" w:rsidRPr="0085055B" w:rsidRDefault="00616D6A" w:rsidP="000D0661">
      <w:pPr>
        <w:pStyle w:val="DocText"/>
        <w:keepNext/>
        <w:rPr>
          <w:rStyle w:val="Zdraznn"/>
          <w:rFonts w:eastAsia="Calibri"/>
          <w:szCs w:val="20"/>
          <w:lang w:val="en-US"/>
        </w:rPr>
      </w:pPr>
      <w:r w:rsidRPr="0085055B">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336577" w:rsidRPr="0085055B" w14:paraId="543F5689" w14:textId="77777777" w:rsidTr="00374570">
        <w:trPr>
          <w:trHeight w:val="464"/>
        </w:trPr>
        <w:tc>
          <w:tcPr>
            <w:tcW w:w="1876" w:type="pct"/>
            <w:vAlign w:val="center"/>
          </w:tcPr>
          <w:p w14:paraId="0A17070F" w14:textId="4E7BDB81" w:rsidR="00336577" w:rsidRPr="0085055B" w:rsidRDefault="00616D6A" w:rsidP="00336577">
            <w:pPr>
              <w:pStyle w:val="ClientNormal"/>
              <w:spacing w:before="120"/>
              <w:rPr>
                <w:rFonts w:ascii="Atyp Colt CZ" w:eastAsia="Calibri" w:hAnsi="Atyp Colt CZ"/>
                <w:sz w:val="16"/>
                <w:szCs w:val="16"/>
                <w:lang w:val="en-US"/>
              </w:rPr>
            </w:pPr>
            <w:r w:rsidRPr="0085055B">
              <w:rPr>
                <w:rFonts w:ascii="Atyp Colt CZ" w:eastAsia="Calibri" w:hAnsi="Atyp Colt CZ"/>
                <w:sz w:val="16"/>
                <w:szCs w:val="16"/>
                <w:lang w:val="en-US"/>
              </w:rPr>
              <w:t>In units</w:t>
            </w:r>
          </w:p>
        </w:tc>
        <w:tc>
          <w:tcPr>
            <w:tcW w:w="1160" w:type="pct"/>
            <w:vAlign w:val="center"/>
          </w:tcPr>
          <w:p w14:paraId="30767831" w14:textId="7B22AE29" w:rsidR="00336577" w:rsidRPr="0085055B" w:rsidRDefault="00616D6A" w:rsidP="00336577">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Q1</w:t>
            </w:r>
            <w:r w:rsidR="00336577" w:rsidRPr="0085055B">
              <w:rPr>
                <w:rFonts w:ascii="Atyp Colt CZ" w:eastAsia="Calibri" w:hAnsi="Atyp Colt CZ"/>
                <w:sz w:val="16"/>
                <w:szCs w:val="16"/>
                <w:lang w:val="en-US"/>
              </w:rPr>
              <w:t xml:space="preserve"> 202</w:t>
            </w:r>
            <w:r w:rsidR="00AD3106" w:rsidRPr="0085055B">
              <w:rPr>
                <w:rFonts w:ascii="Atyp Colt CZ" w:eastAsia="Calibri" w:hAnsi="Atyp Colt CZ"/>
                <w:sz w:val="16"/>
                <w:szCs w:val="16"/>
                <w:lang w:val="en-US"/>
              </w:rPr>
              <w:t>4</w:t>
            </w:r>
          </w:p>
        </w:tc>
        <w:tc>
          <w:tcPr>
            <w:tcW w:w="982" w:type="pct"/>
            <w:vAlign w:val="center"/>
          </w:tcPr>
          <w:p w14:paraId="4BEDC1AB" w14:textId="64E88C2B" w:rsidR="00336577" w:rsidRPr="0085055B" w:rsidRDefault="00616D6A" w:rsidP="00336577">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Q1</w:t>
            </w:r>
            <w:r w:rsidR="00336577" w:rsidRPr="0085055B">
              <w:rPr>
                <w:rFonts w:ascii="Atyp Colt CZ" w:eastAsia="Calibri" w:hAnsi="Atyp Colt CZ"/>
                <w:sz w:val="16"/>
                <w:szCs w:val="16"/>
                <w:lang w:val="en-US"/>
              </w:rPr>
              <w:t xml:space="preserve"> 202</w:t>
            </w:r>
            <w:r w:rsidR="00AD3106" w:rsidRPr="0085055B">
              <w:rPr>
                <w:rFonts w:ascii="Atyp Colt CZ" w:eastAsia="Calibri" w:hAnsi="Atyp Colt CZ"/>
                <w:sz w:val="16"/>
                <w:szCs w:val="16"/>
                <w:lang w:val="en-US"/>
              </w:rPr>
              <w:t>3</w:t>
            </w:r>
          </w:p>
        </w:tc>
        <w:tc>
          <w:tcPr>
            <w:tcW w:w="982" w:type="pct"/>
            <w:vAlign w:val="center"/>
          </w:tcPr>
          <w:p w14:paraId="7B2BA3FF" w14:textId="4D9A45B9" w:rsidR="00336577" w:rsidRPr="0085055B" w:rsidRDefault="00616D6A" w:rsidP="00336577">
            <w:pPr>
              <w:pStyle w:val="ClientNormal"/>
              <w:spacing w:before="120"/>
              <w:jc w:val="right"/>
              <w:rPr>
                <w:rFonts w:ascii="Atyp Colt CZ" w:eastAsia="Calibri" w:hAnsi="Atyp Colt CZ"/>
                <w:sz w:val="16"/>
                <w:szCs w:val="16"/>
                <w:lang w:val="en-US"/>
              </w:rPr>
            </w:pPr>
            <w:r w:rsidRPr="0085055B">
              <w:rPr>
                <w:rFonts w:ascii="Atyp Colt CZ" w:eastAsia="Calibri" w:hAnsi="Atyp Colt CZ"/>
                <w:sz w:val="16"/>
                <w:szCs w:val="16"/>
                <w:lang w:val="en-US"/>
              </w:rPr>
              <w:t>Change in %</w:t>
            </w:r>
          </w:p>
        </w:tc>
      </w:tr>
      <w:tr w:rsidR="00AD3106" w:rsidRPr="0085055B" w14:paraId="3BA82104" w14:textId="77777777" w:rsidTr="004C7170">
        <w:trPr>
          <w:trHeight w:val="283"/>
        </w:trPr>
        <w:tc>
          <w:tcPr>
            <w:tcW w:w="1876" w:type="pct"/>
            <w:vAlign w:val="center"/>
          </w:tcPr>
          <w:p w14:paraId="1CE7AB00" w14:textId="75B37751" w:rsidR="00AD3106" w:rsidRPr="0085055B" w:rsidRDefault="00AD3106" w:rsidP="00AD3106">
            <w:pPr>
              <w:pStyle w:val="ClientNormal"/>
              <w:spacing w:before="120"/>
              <w:rPr>
                <w:rFonts w:ascii="Atyp Colt CZ" w:eastAsia="Calibri" w:hAnsi="Atyp Colt CZ" w:cs="Calibri"/>
                <w:sz w:val="16"/>
                <w:szCs w:val="16"/>
                <w:lang w:val="en-US"/>
              </w:rPr>
            </w:pPr>
            <w:r w:rsidRPr="0085055B">
              <w:rPr>
                <w:rFonts w:ascii="Atyp Colt CZ" w:eastAsia="Calibri" w:hAnsi="Atyp Colt CZ" w:cs="Calibri"/>
                <w:sz w:val="16"/>
                <w:szCs w:val="16"/>
                <w:lang w:val="en-US"/>
              </w:rPr>
              <w:t>Handguns</w:t>
            </w:r>
          </w:p>
        </w:tc>
        <w:tc>
          <w:tcPr>
            <w:tcW w:w="1160" w:type="pct"/>
            <w:vAlign w:val="bottom"/>
          </w:tcPr>
          <w:p w14:paraId="7E97E1AF" w14:textId="2E2DA3C6" w:rsidR="00AD3106" w:rsidRPr="0085055B" w:rsidRDefault="00AD3106" w:rsidP="00AD3106">
            <w:pPr>
              <w:pStyle w:val="ClientNormal"/>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82,294</w:t>
            </w:r>
          </w:p>
        </w:tc>
        <w:tc>
          <w:tcPr>
            <w:tcW w:w="982" w:type="pct"/>
            <w:vAlign w:val="center"/>
          </w:tcPr>
          <w:p w14:paraId="23B9E9BE" w14:textId="0E45451F" w:rsidR="00AD3106" w:rsidRPr="0085055B" w:rsidRDefault="00AD3106" w:rsidP="00AD3106">
            <w:pPr>
              <w:pStyle w:val="ClientNormal"/>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92,491</w:t>
            </w:r>
          </w:p>
        </w:tc>
        <w:tc>
          <w:tcPr>
            <w:tcW w:w="982" w:type="pct"/>
            <w:vAlign w:val="center"/>
          </w:tcPr>
          <w:p w14:paraId="2E48D88B" w14:textId="6BB330BA" w:rsidR="00AD3106" w:rsidRPr="0085055B" w:rsidRDefault="00AD3106" w:rsidP="00AD3106">
            <w:pPr>
              <w:pStyle w:val="ClientNormal"/>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(10.2)%</w:t>
            </w:r>
          </w:p>
        </w:tc>
      </w:tr>
      <w:tr w:rsidR="00AD3106" w:rsidRPr="0085055B" w14:paraId="64460C43" w14:textId="77777777" w:rsidTr="009757CD">
        <w:trPr>
          <w:trHeight w:val="283"/>
        </w:trPr>
        <w:tc>
          <w:tcPr>
            <w:tcW w:w="1876" w:type="pct"/>
            <w:vAlign w:val="center"/>
          </w:tcPr>
          <w:p w14:paraId="3C076C19" w14:textId="4EE95288" w:rsidR="00AD3106" w:rsidRPr="0085055B" w:rsidRDefault="00AD3106" w:rsidP="00AD3106">
            <w:pPr>
              <w:pStyle w:val="ClientNormal"/>
              <w:spacing w:before="120"/>
              <w:rPr>
                <w:rFonts w:ascii="Atyp Colt CZ" w:eastAsia="Calibri" w:hAnsi="Atyp Colt CZ" w:cs="Calibri"/>
                <w:sz w:val="16"/>
                <w:szCs w:val="16"/>
                <w:lang w:val="en-US"/>
              </w:rPr>
            </w:pPr>
            <w:r w:rsidRPr="0085055B">
              <w:rPr>
                <w:rFonts w:ascii="Atyp Colt CZ" w:eastAsia="Calibri" w:hAnsi="Atyp Colt CZ" w:cs="Calibri"/>
                <w:sz w:val="16"/>
                <w:szCs w:val="16"/>
                <w:lang w:val="en-US"/>
              </w:rPr>
              <w:t>Long firearms</w:t>
            </w:r>
          </w:p>
        </w:tc>
        <w:tc>
          <w:tcPr>
            <w:tcW w:w="1160" w:type="pct"/>
            <w:vAlign w:val="center"/>
          </w:tcPr>
          <w:p w14:paraId="03CAC62A" w14:textId="5955C570" w:rsidR="00AD3106" w:rsidRPr="0085055B" w:rsidRDefault="00AD3106" w:rsidP="00AD3106">
            <w:pPr>
              <w:pStyle w:val="ClientNormal"/>
              <w:pBdr>
                <w:bottom w:val="single" w:sz="4" w:space="1" w:color="auto"/>
              </w:pBdr>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57,842</w:t>
            </w:r>
          </w:p>
        </w:tc>
        <w:tc>
          <w:tcPr>
            <w:tcW w:w="982" w:type="pct"/>
            <w:vAlign w:val="center"/>
          </w:tcPr>
          <w:p w14:paraId="1520ECE3" w14:textId="5792410E" w:rsidR="00AD3106" w:rsidRPr="0085055B" w:rsidRDefault="00AD3106" w:rsidP="00AD3106">
            <w:pPr>
              <w:pStyle w:val="ClientNormal"/>
              <w:pBdr>
                <w:bottom w:val="single" w:sz="4" w:space="1" w:color="auto"/>
              </w:pBdr>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57,020</w:t>
            </w:r>
          </w:p>
        </w:tc>
        <w:tc>
          <w:tcPr>
            <w:tcW w:w="982" w:type="pct"/>
          </w:tcPr>
          <w:p w14:paraId="2B2C79B6" w14:textId="313BD356" w:rsidR="00AD3106" w:rsidRPr="0085055B" w:rsidRDefault="00AD3106" w:rsidP="00AD3106">
            <w:pPr>
              <w:pStyle w:val="ClientNormal"/>
              <w:pBdr>
                <w:bottom w:val="single" w:sz="4" w:space="1" w:color="auto"/>
              </w:pBdr>
              <w:spacing w:before="120"/>
              <w:jc w:val="right"/>
              <w:rPr>
                <w:rFonts w:ascii="Atyp Colt CZ" w:eastAsia="Calibri" w:hAnsi="Atyp Colt CZ" w:cs="Calibri"/>
                <w:sz w:val="16"/>
                <w:szCs w:val="16"/>
                <w:lang w:val="en-US"/>
              </w:rPr>
            </w:pPr>
            <w:r w:rsidRPr="0085055B">
              <w:rPr>
                <w:rFonts w:ascii="Atyp Colt CZ" w:eastAsia="Calibri" w:hAnsi="Atyp Colt CZ" w:cs="Calibri"/>
                <w:sz w:val="16"/>
                <w:szCs w:val="16"/>
                <w:lang w:val="en-US"/>
              </w:rPr>
              <w:t>(2.1)%</w:t>
            </w:r>
          </w:p>
        </w:tc>
      </w:tr>
      <w:tr w:rsidR="00AD3106" w:rsidRPr="0085055B" w14:paraId="3D176091" w14:textId="77777777" w:rsidTr="0032033D">
        <w:trPr>
          <w:trHeight w:val="283"/>
        </w:trPr>
        <w:tc>
          <w:tcPr>
            <w:tcW w:w="1876" w:type="pct"/>
            <w:vAlign w:val="center"/>
          </w:tcPr>
          <w:p w14:paraId="6E515BAD" w14:textId="4345D78C" w:rsidR="00AD3106" w:rsidRPr="0085055B" w:rsidRDefault="00AD3106" w:rsidP="00AD3106">
            <w:pPr>
              <w:pStyle w:val="ClientNormal"/>
              <w:spacing w:before="120"/>
              <w:rPr>
                <w:rFonts w:ascii="Atyp Colt CZ" w:eastAsia="Calibri" w:hAnsi="Atyp Colt CZ" w:cs="Calibri"/>
                <w:b/>
                <w:bCs/>
                <w:sz w:val="16"/>
                <w:szCs w:val="16"/>
                <w:lang w:val="en-US"/>
              </w:rPr>
            </w:pPr>
            <w:r w:rsidRPr="0085055B">
              <w:rPr>
                <w:rFonts w:ascii="Atyp Colt CZ" w:hAnsi="Atyp Colt CZ" w:cs="Calibri"/>
                <w:b/>
                <w:bCs/>
                <w:sz w:val="16"/>
                <w:szCs w:val="16"/>
                <w:lang w:val="en-US"/>
              </w:rPr>
              <w:t>Total firearms</w:t>
            </w:r>
          </w:p>
        </w:tc>
        <w:tc>
          <w:tcPr>
            <w:tcW w:w="1160" w:type="pct"/>
            <w:vAlign w:val="center"/>
          </w:tcPr>
          <w:p w14:paraId="4236E6EC" w14:textId="4BA88000" w:rsidR="00AD3106" w:rsidRPr="0085055B" w:rsidRDefault="00AD3106" w:rsidP="00AD3106">
            <w:pPr>
              <w:pStyle w:val="ClientNormal"/>
              <w:pBdr>
                <w:bottom w:val="double" w:sz="4" w:space="1" w:color="auto"/>
              </w:pBdr>
              <w:spacing w:before="120"/>
              <w:jc w:val="right"/>
              <w:rPr>
                <w:rFonts w:ascii="Atyp Colt CZ" w:eastAsia="Calibri" w:hAnsi="Atyp Colt CZ" w:cs="Calibri"/>
                <w:b/>
                <w:bCs/>
                <w:sz w:val="16"/>
                <w:szCs w:val="16"/>
                <w:lang w:val="en-US"/>
              </w:rPr>
            </w:pPr>
            <w:r w:rsidRPr="0085055B">
              <w:rPr>
                <w:rFonts w:ascii="Atyp Colt CZ" w:eastAsia="Calibri" w:hAnsi="Atyp Colt CZ" w:cs="Calibri"/>
                <w:b/>
                <w:bCs/>
                <w:sz w:val="16"/>
                <w:szCs w:val="16"/>
                <w:lang w:val="en-US"/>
              </w:rPr>
              <w:t>140,136</w:t>
            </w:r>
          </w:p>
        </w:tc>
        <w:tc>
          <w:tcPr>
            <w:tcW w:w="982" w:type="pct"/>
            <w:vAlign w:val="center"/>
          </w:tcPr>
          <w:p w14:paraId="4F45B4F0" w14:textId="63030144" w:rsidR="00AD3106" w:rsidRPr="0085055B" w:rsidRDefault="00AD3106" w:rsidP="00AD3106">
            <w:pPr>
              <w:pStyle w:val="ClientNormal"/>
              <w:pBdr>
                <w:bottom w:val="double" w:sz="4" w:space="1" w:color="auto"/>
              </w:pBdr>
              <w:spacing w:before="120"/>
              <w:jc w:val="right"/>
              <w:rPr>
                <w:rFonts w:ascii="Atyp Colt CZ" w:eastAsia="Calibri" w:hAnsi="Atyp Colt CZ" w:cs="Calibri"/>
                <w:b/>
                <w:bCs/>
                <w:sz w:val="16"/>
                <w:szCs w:val="16"/>
                <w:lang w:val="en-US"/>
              </w:rPr>
            </w:pPr>
            <w:r w:rsidRPr="0085055B">
              <w:rPr>
                <w:rFonts w:ascii="Atyp Colt CZ" w:eastAsia="Calibri" w:hAnsi="Atyp Colt CZ" w:cs="Calibri"/>
                <w:b/>
                <w:bCs/>
                <w:sz w:val="16"/>
                <w:szCs w:val="16"/>
                <w:lang w:val="en-US"/>
              </w:rPr>
              <w:t>149,511</w:t>
            </w:r>
          </w:p>
        </w:tc>
        <w:tc>
          <w:tcPr>
            <w:tcW w:w="982" w:type="pct"/>
            <w:vAlign w:val="center"/>
          </w:tcPr>
          <w:p w14:paraId="403B46C9" w14:textId="04FAEE05" w:rsidR="00AD3106" w:rsidRPr="0085055B" w:rsidRDefault="00AD3106" w:rsidP="00AD3106">
            <w:pPr>
              <w:pStyle w:val="ClientNormal"/>
              <w:pBdr>
                <w:bottom w:val="double" w:sz="4" w:space="1" w:color="auto"/>
              </w:pBdr>
              <w:spacing w:before="120"/>
              <w:jc w:val="right"/>
              <w:rPr>
                <w:rFonts w:ascii="Atyp Colt CZ" w:eastAsia="Calibri" w:hAnsi="Atyp Colt CZ" w:cs="Calibri"/>
                <w:b/>
                <w:bCs/>
                <w:sz w:val="16"/>
                <w:szCs w:val="16"/>
                <w:lang w:val="en-US"/>
              </w:rPr>
            </w:pPr>
            <w:r w:rsidRPr="0085055B">
              <w:rPr>
                <w:rFonts w:ascii="Atyp Colt CZ" w:eastAsia="Calibri" w:hAnsi="Atyp Colt CZ" w:cs="Calibri"/>
                <w:b/>
                <w:bCs/>
                <w:sz w:val="16"/>
                <w:szCs w:val="16"/>
                <w:lang w:val="en-US"/>
              </w:rPr>
              <w:t>(5.5)%</w:t>
            </w:r>
          </w:p>
        </w:tc>
      </w:tr>
    </w:tbl>
    <w:p w14:paraId="6F2DFCCA" w14:textId="0CC59DBA" w:rsidR="00BD3D9F" w:rsidRPr="0085055B" w:rsidRDefault="009E1C21" w:rsidP="00F22C2B">
      <w:pPr>
        <w:spacing w:before="240" w:line="276" w:lineRule="auto"/>
        <w:rPr>
          <w:rFonts w:eastAsiaTheme="minorHAnsi" w:cs="Calibri"/>
          <w:b/>
          <w:bCs/>
          <w:szCs w:val="20"/>
          <w:lang w:val="en-US"/>
        </w:rPr>
      </w:pPr>
      <w:r w:rsidRPr="0085055B">
        <w:rPr>
          <w:rFonts w:eastAsiaTheme="minorHAnsi" w:cs="Calibri"/>
          <w:b/>
          <w:bCs/>
          <w:szCs w:val="20"/>
          <w:lang w:val="en-US"/>
        </w:rPr>
        <w:t>EBIT</w:t>
      </w:r>
      <w:r w:rsidR="00A140A3" w:rsidRPr="0085055B">
        <w:rPr>
          <w:rFonts w:eastAsiaTheme="minorHAnsi" w:cs="Calibri"/>
          <w:b/>
          <w:bCs/>
          <w:szCs w:val="20"/>
          <w:lang w:val="en-US"/>
        </w:rPr>
        <w:t>DA</w:t>
      </w:r>
      <w:r w:rsidR="00AD3106" w:rsidRPr="0085055B">
        <w:rPr>
          <w:rFonts w:eastAsiaTheme="minorHAnsi" w:cs="Calibri"/>
          <w:b/>
          <w:bCs/>
          <w:szCs w:val="20"/>
          <w:lang w:val="en-US"/>
        </w:rPr>
        <w:t xml:space="preserve"> and </w:t>
      </w:r>
      <w:r w:rsidR="00A140A3" w:rsidRPr="0085055B">
        <w:rPr>
          <w:rFonts w:eastAsiaTheme="minorHAnsi" w:cs="Calibri"/>
          <w:b/>
          <w:bCs/>
          <w:szCs w:val="20"/>
          <w:lang w:val="en-US"/>
        </w:rPr>
        <w:t xml:space="preserve">adjusted </w:t>
      </w:r>
      <w:r w:rsidR="00BD3D9F" w:rsidRPr="0085055B">
        <w:rPr>
          <w:rFonts w:eastAsiaTheme="minorHAnsi" w:cs="Calibri"/>
          <w:b/>
          <w:bCs/>
          <w:szCs w:val="20"/>
          <w:lang w:val="en-US"/>
        </w:rPr>
        <w:t>EBITDA</w:t>
      </w:r>
      <w:r w:rsidR="00BD3D9F" w:rsidRPr="0085055B">
        <w:rPr>
          <w:rStyle w:val="Znakapoznpodarou"/>
          <w:rFonts w:eastAsiaTheme="minorHAnsi" w:cs="Calibri"/>
          <w:b/>
          <w:bCs/>
          <w:szCs w:val="20"/>
          <w:lang w:val="en-US"/>
        </w:rPr>
        <w:footnoteReference w:id="2"/>
      </w:r>
      <w:r w:rsidR="00A140A3" w:rsidRPr="0085055B">
        <w:rPr>
          <w:rFonts w:eastAsiaTheme="minorHAnsi" w:cs="Calibri"/>
          <w:b/>
          <w:bCs/>
          <w:szCs w:val="20"/>
          <w:lang w:val="en-US"/>
        </w:rPr>
        <w:t xml:space="preserve"> </w:t>
      </w:r>
    </w:p>
    <w:p w14:paraId="7CE16FEC" w14:textId="42454393" w:rsidR="009E1C21" w:rsidRPr="0085055B" w:rsidRDefault="00A140A3" w:rsidP="00BD3D9F">
      <w:pPr>
        <w:spacing w:before="120" w:line="276" w:lineRule="auto"/>
        <w:rPr>
          <w:rFonts w:eastAsiaTheme="minorHAnsi" w:cs="Calibri"/>
          <w:szCs w:val="20"/>
          <w:lang w:val="en-US"/>
        </w:rPr>
      </w:pPr>
      <w:r w:rsidRPr="0085055B">
        <w:rPr>
          <w:rFonts w:eastAsiaTheme="minorHAnsi" w:cs="Calibri"/>
          <w:szCs w:val="20"/>
          <w:lang w:val="en-US"/>
        </w:rPr>
        <w:t>In the three months ended March</w:t>
      </w:r>
      <w:r w:rsidR="00A0443C" w:rsidRPr="0085055B">
        <w:rPr>
          <w:rFonts w:eastAsiaTheme="minorHAnsi" w:cs="Calibri"/>
          <w:szCs w:val="20"/>
          <w:lang w:val="en-US"/>
        </w:rPr>
        <w:t xml:space="preserve"> 31,</w:t>
      </w:r>
      <w:r w:rsidRPr="0085055B">
        <w:rPr>
          <w:rFonts w:eastAsiaTheme="minorHAnsi" w:cs="Calibri"/>
          <w:szCs w:val="20"/>
          <w:lang w:val="en-US"/>
        </w:rPr>
        <w:t xml:space="preserve"> 202</w:t>
      </w:r>
      <w:r w:rsidR="00AD3106" w:rsidRPr="0085055B">
        <w:rPr>
          <w:rFonts w:eastAsiaTheme="minorHAnsi" w:cs="Calibri"/>
          <w:szCs w:val="20"/>
          <w:lang w:val="en-US"/>
        </w:rPr>
        <w:t>4</w:t>
      </w:r>
      <w:r w:rsidRPr="0085055B">
        <w:rPr>
          <w:rFonts w:eastAsiaTheme="minorHAnsi" w:cs="Calibri"/>
          <w:szCs w:val="20"/>
          <w:lang w:val="en-US"/>
        </w:rPr>
        <w:t xml:space="preserve">, </w:t>
      </w:r>
      <w:r w:rsidR="009E1C21" w:rsidRPr="0085055B">
        <w:rPr>
          <w:rFonts w:eastAsiaTheme="minorHAnsi" w:cs="Calibri"/>
          <w:szCs w:val="20"/>
          <w:lang w:val="en-US"/>
        </w:rPr>
        <w:t xml:space="preserve">EBITDA went </w:t>
      </w:r>
      <w:r w:rsidRPr="0085055B">
        <w:rPr>
          <w:rFonts w:eastAsiaTheme="minorHAnsi" w:cs="Calibri"/>
          <w:szCs w:val="20"/>
          <w:lang w:val="en-US"/>
        </w:rPr>
        <w:t>down</w:t>
      </w:r>
      <w:r w:rsidR="009E1C21" w:rsidRPr="0085055B">
        <w:rPr>
          <w:rFonts w:eastAsiaTheme="minorHAnsi" w:cs="Calibri"/>
          <w:szCs w:val="20"/>
          <w:lang w:val="en-US"/>
        </w:rPr>
        <w:t xml:space="preserve"> by </w:t>
      </w:r>
      <w:r w:rsidR="00AD3106" w:rsidRPr="0085055B">
        <w:rPr>
          <w:rFonts w:eastAsiaTheme="minorHAnsi" w:cs="Calibri"/>
          <w:szCs w:val="20"/>
          <w:lang w:val="en-US"/>
        </w:rPr>
        <w:t>29.8</w:t>
      </w:r>
      <w:r w:rsidR="006E7A34" w:rsidRPr="0085055B">
        <w:rPr>
          <w:rFonts w:eastAsiaTheme="minorHAnsi" w:cs="Calibri"/>
          <w:szCs w:val="20"/>
          <w:lang w:val="en-US"/>
        </w:rPr>
        <w:t xml:space="preserve">% </w:t>
      </w:r>
      <w:r w:rsidR="009E1C21" w:rsidRPr="0085055B">
        <w:rPr>
          <w:rFonts w:eastAsiaTheme="minorHAnsi" w:cs="Calibri"/>
          <w:szCs w:val="20"/>
          <w:lang w:val="en-US"/>
        </w:rPr>
        <w:t xml:space="preserve">to CZK </w:t>
      </w:r>
      <w:r w:rsidR="00AD3106" w:rsidRPr="0085055B">
        <w:rPr>
          <w:rFonts w:eastAsiaTheme="minorHAnsi" w:cs="Calibri"/>
          <w:szCs w:val="20"/>
          <w:lang w:val="en-US"/>
        </w:rPr>
        <w:t>420.7</w:t>
      </w:r>
      <w:r w:rsidRPr="0085055B">
        <w:rPr>
          <w:rFonts w:eastAsiaTheme="minorHAnsi" w:cs="Calibri"/>
          <w:szCs w:val="20"/>
          <w:lang w:val="en-US"/>
        </w:rPr>
        <w:t xml:space="preserve"> </w:t>
      </w:r>
      <w:r w:rsidR="009E1C21" w:rsidRPr="0085055B">
        <w:rPr>
          <w:rFonts w:eastAsiaTheme="minorHAnsi" w:cs="Calibri"/>
          <w:szCs w:val="20"/>
          <w:lang w:val="en-US"/>
        </w:rPr>
        <w:t xml:space="preserve">million compared with the </w:t>
      </w:r>
      <w:r w:rsidR="00607363" w:rsidRPr="0085055B">
        <w:rPr>
          <w:rFonts w:eastAsiaTheme="minorHAnsi" w:cs="Calibri"/>
          <w:szCs w:val="20"/>
          <w:lang w:val="en-US"/>
        </w:rPr>
        <w:t>same period last year</w:t>
      </w:r>
      <w:r w:rsidR="009E1C21" w:rsidRPr="0085055B">
        <w:rPr>
          <w:rFonts w:eastAsiaTheme="minorHAnsi" w:cs="Calibri"/>
          <w:szCs w:val="20"/>
          <w:lang w:val="en-US"/>
        </w:rPr>
        <w:t xml:space="preserve">. </w:t>
      </w:r>
      <w:r w:rsidR="00CD1D91" w:rsidRPr="0085055B">
        <w:rPr>
          <w:lang w:val="en-US"/>
        </w:rPr>
        <w:t xml:space="preserve">The decline of EBITDA </w:t>
      </w:r>
      <w:r w:rsidR="00CD1D91">
        <w:rPr>
          <w:lang w:val="en-US"/>
        </w:rPr>
        <w:t>is primarily related</w:t>
      </w:r>
      <w:r w:rsidR="00CD1D91" w:rsidRPr="0085055B">
        <w:rPr>
          <w:lang w:val="en-US"/>
        </w:rPr>
        <w:t xml:space="preserve"> </w:t>
      </w:r>
      <w:r w:rsidR="00CD1D91">
        <w:rPr>
          <w:lang w:val="en-US"/>
        </w:rPr>
        <w:t xml:space="preserve">to one-offs - to both </w:t>
      </w:r>
      <w:r w:rsidR="00CD1D91" w:rsidRPr="0085055B">
        <w:rPr>
          <w:lang w:val="en-US"/>
        </w:rPr>
        <w:t>higher costs of marketing campaigns for the sales support in the US commercial market</w:t>
      </w:r>
      <w:r w:rsidR="00CD1D91">
        <w:rPr>
          <w:lang w:val="en-US"/>
        </w:rPr>
        <w:t xml:space="preserve">, the delayed ramp-up of some of the new products and </w:t>
      </w:r>
      <w:r w:rsidR="00CD1D91" w:rsidRPr="0085055B">
        <w:rPr>
          <w:lang w:val="en-US"/>
        </w:rPr>
        <w:t xml:space="preserve">higher operational costs for the development of the Swiss ammunition producers swissAA, </w:t>
      </w:r>
      <w:r w:rsidR="00CD1D91">
        <w:rPr>
          <w:lang w:val="en-US"/>
        </w:rPr>
        <w:t>as well as</w:t>
      </w:r>
      <w:r w:rsidR="00CD1D91" w:rsidRPr="0085055B">
        <w:rPr>
          <w:lang w:val="en-US"/>
        </w:rPr>
        <w:t xml:space="preserve"> quarterly seasonality of sales.</w:t>
      </w:r>
    </w:p>
    <w:p w14:paraId="00C48DEA" w14:textId="047F4638" w:rsidR="00A140A3" w:rsidRPr="0085055B" w:rsidRDefault="00A140A3" w:rsidP="00BD3D9F">
      <w:pPr>
        <w:spacing w:before="120" w:line="276" w:lineRule="auto"/>
        <w:rPr>
          <w:rFonts w:eastAsiaTheme="minorHAnsi" w:cs="Calibri"/>
          <w:szCs w:val="20"/>
          <w:lang w:val="en-US"/>
        </w:rPr>
      </w:pPr>
      <w:r w:rsidRPr="0085055B">
        <w:rPr>
          <w:rFonts w:eastAsiaTheme="minorHAnsi" w:cs="Calibri"/>
          <w:szCs w:val="20"/>
          <w:lang w:val="en-US"/>
        </w:rPr>
        <w:t>The adjusted EBITDA went down by 28.</w:t>
      </w:r>
      <w:r w:rsidR="00AD3106" w:rsidRPr="0085055B">
        <w:rPr>
          <w:rFonts w:eastAsiaTheme="minorHAnsi" w:cs="Calibri"/>
          <w:szCs w:val="20"/>
          <w:lang w:val="en-US"/>
        </w:rPr>
        <w:t>5</w:t>
      </w:r>
      <w:r w:rsidRPr="0085055B">
        <w:rPr>
          <w:rFonts w:eastAsiaTheme="minorHAnsi" w:cs="Calibri"/>
          <w:szCs w:val="20"/>
          <w:lang w:val="en-US"/>
        </w:rPr>
        <w:t xml:space="preserve">% to CZK </w:t>
      </w:r>
      <w:r w:rsidR="00AD3106" w:rsidRPr="0085055B">
        <w:rPr>
          <w:rFonts w:eastAsiaTheme="minorHAnsi" w:cs="Calibri"/>
          <w:szCs w:val="20"/>
          <w:lang w:val="en-US"/>
        </w:rPr>
        <w:t>488.4</w:t>
      </w:r>
      <w:r w:rsidRPr="0085055B">
        <w:rPr>
          <w:rFonts w:eastAsiaTheme="minorHAnsi" w:cs="Calibri"/>
          <w:szCs w:val="20"/>
          <w:lang w:val="en-US"/>
        </w:rPr>
        <w:t xml:space="preserve">4 million compared with the same period last </w:t>
      </w:r>
      <w:r w:rsidR="00193EE8" w:rsidRPr="0085055B">
        <w:rPr>
          <w:rFonts w:eastAsiaTheme="minorHAnsi" w:cs="Calibri"/>
          <w:szCs w:val="20"/>
          <w:lang w:val="en-US"/>
        </w:rPr>
        <w:t>year.</w:t>
      </w:r>
    </w:p>
    <w:p w14:paraId="0807566C" w14:textId="77777777" w:rsidR="003761C7" w:rsidRPr="0085055B" w:rsidRDefault="00607363" w:rsidP="00BD3D9F">
      <w:pPr>
        <w:spacing w:before="120" w:line="276" w:lineRule="auto"/>
        <w:rPr>
          <w:rFonts w:eastAsiaTheme="minorHAnsi" w:cs="Calibri"/>
          <w:b/>
          <w:bCs/>
          <w:szCs w:val="20"/>
          <w:lang w:val="en-US"/>
        </w:rPr>
      </w:pPr>
      <w:r w:rsidRPr="0085055B">
        <w:rPr>
          <w:rFonts w:eastAsiaTheme="minorHAnsi" w:cs="Calibri"/>
          <w:b/>
          <w:bCs/>
          <w:szCs w:val="20"/>
          <w:lang w:val="en-US"/>
        </w:rPr>
        <w:t>Profit (loss) before tax</w:t>
      </w:r>
    </w:p>
    <w:p w14:paraId="297BF014" w14:textId="2CE3C55A" w:rsidR="00607363" w:rsidRPr="0085055B" w:rsidRDefault="00607363" w:rsidP="00BD3D9F">
      <w:pPr>
        <w:spacing w:before="120" w:line="276" w:lineRule="auto"/>
        <w:rPr>
          <w:rFonts w:eastAsiaTheme="minorHAnsi" w:cs="Calibri"/>
          <w:szCs w:val="20"/>
          <w:lang w:val="en-US"/>
        </w:rPr>
      </w:pPr>
      <w:r w:rsidRPr="0085055B">
        <w:rPr>
          <w:rFonts w:eastAsiaTheme="minorHAnsi" w:cs="Calibri"/>
          <w:szCs w:val="20"/>
          <w:lang w:val="en-US"/>
        </w:rPr>
        <w:t xml:space="preserve">Profit (loss) before tax </w:t>
      </w:r>
      <w:r w:rsidR="00AD3106" w:rsidRPr="0085055B">
        <w:rPr>
          <w:rFonts w:eastAsiaTheme="minorHAnsi" w:cs="Calibri"/>
          <w:szCs w:val="20"/>
          <w:lang w:val="en-US"/>
        </w:rPr>
        <w:t>decreased</w:t>
      </w:r>
      <w:r w:rsidRPr="0085055B">
        <w:rPr>
          <w:rFonts w:eastAsiaTheme="minorHAnsi" w:cs="Calibri"/>
          <w:szCs w:val="20"/>
          <w:lang w:val="en-US"/>
        </w:rPr>
        <w:t xml:space="preserve"> by </w:t>
      </w:r>
      <w:r w:rsidR="00AD3106" w:rsidRPr="0085055B">
        <w:rPr>
          <w:rFonts w:eastAsiaTheme="minorHAnsi" w:cs="Calibri"/>
          <w:szCs w:val="20"/>
          <w:lang w:val="en-US"/>
        </w:rPr>
        <w:t>49</w:t>
      </w:r>
      <w:r w:rsidR="006E7A34" w:rsidRPr="0085055B">
        <w:rPr>
          <w:rFonts w:eastAsiaTheme="minorHAnsi" w:cs="Calibri"/>
          <w:szCs w:val="20"/>
          <w:lang w:val="en-US"/>
        </w:rPr>
        <w:t xml:space="preserve">% </w:t>
      </w:r>
      <w:r w:rsidRPr="0085055B">
        <w:rPr>
          <w:rFonts w:eastAsiaTheme="minorHAnsi" w:cs="Calibri"/>
          <w:szCs w:val="20"/>
          <w:lang w:val="en-US"/>
        </w:rPr>
        <w:t>y</w:t>
      </w:r>
      <w:r w:rsidR="002C1BD4" w:rsidRPr="0085055B">
        <w:rPr>
          <w:rFonts w:eastAsiaTheme="minorHAnsi" w:cs="Calibri"/>
          <w:szCs w:val="20"/>
          <w:lang w:val="en-US"/>
        </w:rPr>
        <w:t>-</w:t>
      </w:r>
      <w:r w:rsidRPr="0085055B">
        <w:rPr>
          <w:rFonts w:eastAsiaTheme="minorHAnsi" w:cs="Calibri"/>
          <w:szCs w:val="20"/>
          <w:lang w:val="en-US"/>
        </w:rPr>
        <w:t>o</w:t>
      </w:r>
      <w:r w:rsidR="002C1BD4" w:rsidRPr="0085055B">
        <w:rPr>
          <w:rFonts w:eastAsiaTheme="minorHAnsi" w:cs="Calibri"/>
          <w:szCs w:val="20"/>
          <w:lang w:val="en-US"/>
        </w:rPr>
        <w:t>-</w:t>
      </w:r>
      <w:r w:rsidRPr="0085055B">
        <w:rPr>
          <w:rFonts w:eastAsiaTheme="minorHAnsi" w:cs="Calibri"/>
          <w:szCs w:val="20"/>
          <w:lang w:val="en-US"/>
        </w:rPr>
        <w:t xml:space="preserve">y to CZK </w:t>
      </w:r>
      <w:r w:rsidR="00AD3106" w:rsidRPr="0085055B">
        <w:rPr>
          <w:rFonts w:eastAsiaTheme="minorHAnsi" w:cs="Calibri"/>
          <w:szCs w:val="20"/>
          <w:lang w:val="en-US"/>
        </w:rPr>
        <w:t>374.6</w:t>
      </w:r>
      <w:r w:rsidRPr="0085055B">
        <w:rPr>
          <w:rFonts w:eastAsiaTheme="minorHAnsi" w:cs="Calibri"/>
          <w:szCs w:val="20"/>
          <w:lang w:val="en-US"/>
        </w:rPr>
        <w:t xml:space="preserve"> million for the </w:t>
      </w:r>
      <w:r w:rsidR="00A0443C" w:rsidRPr="0085055B">
        <w:rPr>
          <w:rFonts w:eastAsiaTheme="minorHAnsi" w:cs="Calibri"/>
          <w:szCs w:val="20"/>
          <w:lang w:val="en-US"/>
        </w:rPr>
        <w:t xml:space="preserve">first </w:t>
      </w:r>
      <w:r w:rsidRPr="0085055B">
        <w:rPr>
          <w:rFonts w:eastAsiaTheme="minorHAnsi" w:cs="Calibri"/>
          <w:szCs w:val="20"/>
          <w:lang w:val="en-US"/>
        </w:rPr>
        <w:t>three months of 202</w:t>
      </w:r>
      <w:r w:rsidR="00AD3106" w:rsidRPr="0085055B">
        <w:rPr>
          <w:rFonts w:eastAsiaTheme="minorHAnsi" w:cs="Calibri"/>
          <w:szCs w:val="20"/>
          <w:lang w:val="en-US"/>
        </w:rPr>
        <w:t>4 driven by factors impacting the operating profit and also by lower profit from financial operations on the back of the FX rates development.</w:t>
      </w:r>
      <w:r w:rsidRPr="0085055B">
        <w:rPr>
          <w:rFonts w:eastAsiaTheme="minorHAnsi" w:cs="Calibri"/>
          <w:szCs w:val="20"/>
          <w:lang w:val="en-US"/>
        </w:rPr>
        <w:t xml:space="preserve">  </w:t>
      </w:r>
    </w:p>
    <w:p w14:paraId="008CADC5" w14:textId="58CABA6C" w:rsidR="00BD3D9F" w:rsidRPr="0085055B" w:rsidRDefault="00607363" w:rsidP="00BD3D9F">
      <w:pPr>
        <w:spacing w:before="120" w:line="276" w:lineRule="auto"/>
        <w:rPr>
          <w:rFonts w:eastAsiaTheme="minorHAnsi" w:cs="Calibri"/>
          <w:b/>
          <w:bCs/>
          <w:szCs w:val="20"/>
          <w:lang w:val="en-US"/>
        </w:rPr>
      </w:pPr>
      <w:r w:rsidRPr="0085055B">
        <w:rPr>
          <w:rFonts w:eastAsiaTheme="minorHAnsi" w:cs="Calibri"/>
          <w:b/>
          <w:bCs/>
          <w:szCs w:val="20"/>
          <w:lang w:val="en-US"/>
        </w:rPr>
        <w:t>Net profit</w:t>
      </w:r>
      <w:r w:rsidR="005F438E" w:rsidRPr="0085055B">
        <w:rPr>
          <w:rFonts w:eastAsiaTheme="minorHAnsi" w:cs="Calibri"/>
          <w:b/>
          <w:bCs/>
          <w:szCs w:val="20"/>
          <w:lang w:val="en-US"/>
        </w:rPr>
        <w:t xml:space="preserve"> </w:t>
      </w:r>
      <w:r w:rsidR="00A6284F" w:rsidRPr="0085055B">
        <w:rPr>
          <w:rFonts w:eastAsiaTheme="minorHAnsi" w:cs="Calibri"/>
          <w:b/>
          <w:bCs/>
          <w:szCs w:val="20"/>
          <w:lang w:val="en-US"/>
        </w:rPr>
        <w:t xml:space="preserve">/ </w:t>
      </w:r>
      <w:r w:rsidRPr="0085055B">
        <w:rPr>
          <w:rFonts w:eastAsiaTheme="minorHAnsi" w:cs="Calibri"/>
          <w:b/>
          <w:bCs/>
          <w:szCs w:val="20"/>
          <w:lang w:val="en-US"/>
        </w:rPr>
        <w:t>Adjusted Net profit</w:t>
      </w:r>
      <w:r w:rsidR="0066170E" w:rsidRPr="0085055B">
        <w:rPr>
          <w:rStyle w:val="Znakapoznpodarou"/>
          <w:rFonts w:eastAsiaTheme="minorHAnsi" w:cs="Calibri"/>
          <w:b/>
          <w:bCs/>
          <w:szCs w:val="20"/>
          <w:lang w:val="en-US"/>
        </w:rPr>
        <w:footnoteReference w:id="3"/>
      </w:r>
    </w:p>
    <w:p w14:paraId="08C25664" w14:textId="653C8C6B" w:rsidR="003761C7" w:rsidRPr="0085055B" w:rsidRDefault="00446D64" w:rsidP="00BD3D9F">
      <w:pPr>
        <w:spacing w:before="120" w:line="276" w:lineRule="auto"/>
        <w:rPr>
          <w:rFonts w:eastAsiaTheme="minorHAnsi" w:cs="Calibri"/>
          <w:szCs w:val="20"/>
          <w:lang w:val="en-US"/>
        </w:rPr>
      </w:pPr>
      <w:r w:rsidRPr="0085055B">
        <w:rPr>
          <w:rFonts w:eastAsiaTheme="minorHAnsi" w:cs="Calibri"/>
          <w:szCs w:val="20"/>
          <w:lang w:val="en-US"/>
        </w:rPr>
        <w:t xml:space="preserve">Profit for the first quarter </w:t>
      </w:r>
      <w:r w:rsidR="002C1BD4" w:rsidRPr="0085055B">
        <w:rPr>
          <w:rFonts w:eastAsiaTheme="minorHAnsi" w:cs="Calibri"/>
          <w:szCs w:val="20"/>
          <w:lang w:val="en-US"/>
        </w:rPr>
        <w:t xml:space="preserve">of </w:t>
      </w:r>
      <w:r w:rsidRPr="0085055B">
        <w:rPr>
          <w:rFonts w:eastAsiaTheme="minorHAnsi" w:cs="Calibri"/>
          <w:szCs w:val="20"/>
          <w:lang w:val="en-US"/>
        </w:rPr>
        <w:t>202</w:t>
      </w:r>
      <w:r w:rsidR="00AD3106" w:rsidRPr="0085055B">
        <w:rPr>
          <w:rFonts w:eastAsiaTheme="minorHAnsi" w:cs="Calibri"/>
          <w:szCs w:val="20"/>
          <w:lang w:val="en-US"/>
        </w:rPr>
        <w:t>4</w:t>
      </w:r>
      <w:r w:rsidRPr="0085055B">
        <w:rPr>
          <w:rFonts w:eastAsiaTheme="minorHAnsi" w:cs="Calibri"/>
          <w:szCs w:val="20"/>
          <w:lang w:val="en-US"/>
        </w:rPr>
        <w:t xml:space="preserve"> </w:t>
      </w:r>
      <w:r w:rsidR="00AD3106" w:rsidRPr="0085055B">
        <w:rPr>
          <w:rFonts w:eastAsiaTheme="minorHAnsi" w:cs="Calibri"/>
          <w:szCs w:val="20"/>
          <w:lang w:val="en-US"/>
        </w:rPr>
        <w:t>declined</w:t>
      </w:r>
      <w:r w:rsidRPr="0085055B">
        <w:rPr>
          <w:rFonts w:eastAsiaTheme="minorHAnsi" w:cs="Calibri"/>
          <w:szCs w:val="20"/>
          <w:lang w:val="en-US"/>
        </w:rPr>
        <w:t xml:space="preserve"> by </w:t>
      </w:r>
      <w:r w:rsidR="00AD3106" w:rsidRPr="0085055B">
        <w:rPr>
          <w:rFonts w:eastAsiaTheme="minorHAnsi" w:cs="Calibri"/>
          <w:szCs w:val="20"/>
          <w:lang w:val="en-US"/>
        </w:rPr>
        <w:t>48.4</w:t>
      </w:r>
      <w:r w:rsidR="006E7A34" w:rsidRPr="0085055B">
        <w:rPr>
          <w:rFonts w:eastAsiaTheme="minorHAnsi" w:cs="Calibri"/>
          <w:szCs w:val="20"/>
          <w:lang w:val="en-US"/>
        </w:rPr>
        <w:t xml:space="preserve">% </w:t>
      </w:r>
      <w:r w:rsidRPr="0085055B">
        <w:rPr>
          <w:rFonts w:eastAsiaTheme="minorHAnsi" w:cs="Calibri"/>
          <w:szCs w:val="20"/>
          <w:lang w:val="en-US"/>
        </w:rPr>
        <w:t xml:space="preserve">to CZK </w:t>
      </w:r>
      <w:r w:rsidR="009E4BED" w:rsidRPr="0085055B">
        <w:rPr>
          <w:rFonts w:eastAsiaTheme="minorHAnsi" w:cs="Calibri"/>
          <w:szCs w:val="20"/>
          <w:lang w:val="en-US"/>
        </w:rPr>
        <w:t>303.3</w:t>
      </w:r>
      <w:r w:rsidRPr="0085055B">
        <w:rPr>
          <w:rFonts w:eastAsiaTheme="minorHAnsi" w:cs="Calibri"/>
          <w:szCs w:val="20"/>
          <w:lang w:val="en-US"/>
        </w:rPr>
        <w:t xml:space="preserve"> million compared with the same period last year</w:t>
      </w:r>
      <w:r w:rsidR="002F6C00" w:rsidRPr="0085055B">
        <w:rPr>
          <w:rFonts w:eastAsiaTheme="minorHAnsi" w:cs="Calibri"/>
          <w:szCs w:val="20"/>
          <w:lang w:val="en-US"/>
        </w:rPr>
        <w:t xml:space="preserve">, due to the </w:t>
      </w:r>
      <w:r w:rsidR="009E4BED" w:rsidRPr="0085055B">
        <w:rPr>
          <w:rFonts w:eastAsiaTheme="minorHAnsi" w:cs="Calibri"/>
          <w:szCs w:val="20"/>
          <w:lang w:val="en-US"/>
        </w:rPr>
        <w:t xml:space="preserve">factors impacting the operating profit and </w:t>
      </w:r>
      <w:r w:rsidR="00193EE8" w:rsidRPr="0085055B">
        <w:rPr>
          <w:rFonts w:eastAsiaTheme="minorHAnsi" w:cs="Calibri"/>
          <w:szCs w:val="20"/>
          <w:lang w:val="en-US"/>
        </w:rPr>
        <w:t>the decrease</w:t>
      </w:r>
      <w:r w:rsidR="009E4BED" w:rsidRPr="0085055B">
        <w:rPr>
          <w:rFonts w:eastAsiaTheme="minorHAnsi" w:cs="Calibri"/>
          <w:szCs w:val="20"/>
          <w:lang w:val="en-US"/>
        </w:rPr>
        <w:t xml:space="preserve"> of the profit from financial operations.</w:t>
      </w:r>
    </w:p>
    <w:p w14:paraId="2F6B8027" w14:textId="66A1698A" w:rsidR="00446D64" w:rsidRPr="0085055B" w:rsidRDefault="00446D64" w:rsidP="00BD3D9F">
      <w:pPr>
        <w:spacing w:before="120" w:line="276" w:lineRule="auto"/>
        <w:rPr>
          <w:rFonts w:eastAsiaTheme="minorHAnsi" w:cs="Calibri"/>
          <w:szCs w:val="20"/>
          <w:lang w:val="en-US"/>
        </w:rPr>
      </w:pPr>
      <w:r w:rsidRPr="0085055B">
        <w:rPr>
          <w:rFonts w:eastAsiaTheme="minorHAnsi" w:cs="Calibri"/>
          <w:szCs w:val="20"/>
          <w:lang w:val="en-US"/>
        </w:rPr>
        <w:lastRenderedPageBreak/>
        <w:t xml:space="preserve">Profit for the first quarter </w:t>
      </w:r>
      <w:r w:rsidR="002C1BD4" w:rsidRPr="0085055B">
        <w:rPr>
          <w:rFonts w:eastAsiaTheme="minorHAnsi" w:cs="Calibri"/>
          <w:szCs w:val="20"/>
          <w:lang w:val="en-US"/>
        </w:rPr>
        <w:t xml:space="preserve">of </w:t>
      </w:r>
      <w:r w:rsidRPr="0085055B">
        <w:rPr>
          <w:rFonts w:eastAsiaTheme="minorHAnsi" w:cs="Calibri"/>
          <w:szCs w:val="20"/>
          <w:lang w:val="en-US"/>
        </w:rPr>
        <w:t>202</w:t>
      </w:r>
      <w:r w:rsidR="009E4BED" w:rsidRPr="0085055B">
        <w:rPr>
          <w:rFonts w:eastAsiaTheme="minorHAnsi" w:cs="Calibri"/>
          <w:szCs w:val="20"/>
          <w:lang w:val="en-US"/>
        </w:rPr>
        <w:t>4</w:t>
      </w:r>
      <w:r w:rsidRPr="0085055B">
        <w:rPr>
          <w:rFonts w:eastAsiaTheme="minorHAnsi" w:cs="Calibri"/>
          <w:szCs w:val="20"/>
          <w:lang w:val="en-US"/>
        </w:rPr>
        <w:t xml:space="preserve"> adjusted by </w:t>
      </w:r>
      <w:r w:rsidR="0066170E" w:rsidRPr="0085055B">
        <w:rPr>
          <w:rFonts w:eastAsiaTheme="minorHAnsi" w:cs="Calibri"/>
          <w:szCs w:val="20"/>
          <w:lang w:val="en-US"/>
        </w:rPr>
        <w:t>extraordinary items</w:t>
      </w:r>
      <w:r w:rsidRPr="0085055B">
        <w:rPr>
          <w:rFonts w:eastAsiaTheme="minorHAnsi" w:cs="Calibri"/>
          <w:szCs w:val="20"/>
          <w:lang w:val="en-US"/>
        </w:rPr>
        <w:t xml:space="preserve"> </w:t>
      </w:r>
      <w:r w:rsidR="009E4BED" w:rsidRPr="0085055B">
        <w:rPr>
          <w:rFonts w:eastAsiaTheme="minorHAnsi" w:cs="Calibri"/>
          <w:szCs w:val="20"/>
          <w:lang w:val="en-US"/>
        </w:rPr>
        <w:t>decreased</w:t>
      </w:r>
      <w:r w:rsidRPr="0085055B">
        <w:rPr>
          <w:rFonts w:eastAsiaTheme="minorHAnsi" w:cs="Calibri"/>
          <w:szCs w:val="20"/>
          <w:lang w:val="en-US"/>
        </w:rPr>
        <w:t xml:space="preserve"> by </w:t>
      </w:r>
      <w:r w:rsidR="009E4BED" w:rsidRPr="0085055B">
        <w:rPr>
          <w:rFonts w:eastAsiaTheme="minorHAnsi" w:cs="Calibri"/>
          <w:szCs w:val="20"/>
          <w:lang w:val="en-US"/>
        </w:rPr>
        <w:t>47.8</w:t>
      </w:r>
      <w:r w:rsidR="006E7A34" w:rsidRPr="0085055B">
        <w:rPr>
          <w:rFonts w:eastAsiaTheme="minorHAnsi" w:cs="Calibri"/>
          <w:szCs w:val="20"/>
          <w:lang w:val="en-US"/>
        </w:rPr>
        <w:t xml:space="preserve">% </w:t>
      </w:r>
      <w:r w:rsidRPr="0085055B">
        <w:rPr>
          <w:rFonts w:eastAsiaTheme="minorHAnsi" w:cs="Calibri"/>
          <w:szCs w:val="20"/>
          <w:lang w:val="en-US"/>
        </w:rPr>
        <w:t xml:space="preserve">to CZK </w:t>
      </w:r>
      <w:r w:rsidR="009E4BED" w:rsidRPr="0085055B">
        <w:rPr>
          <w:rFonts w:eastAsiaTheme="minorHAnsi" w:cs="Calibri"/>
          <w:szCs w:val="20"/>
          <w:lang w:val="en-US"/>
        </w:rPr>
        <w:t>359.9</w:t>
      </w:r>
      <w:r w:rsidRPr="0085055B">
        <w:rPr>
          <w:rFonts w:eastAsiaTheme="minorHAnsi" w:cs="Calibri"/>
          <w:szCs w:val="20"/>
          <w:lang w:val="en-US"/>
        </w:rPr>
        <w:t xml:space="preserve"> million compared with the </w:t>
      </w:r>
      <w:r w:rsidR="002060BF" w:rsidRPr="0085055B">
        <w:rPr>
          <w:rFonts w:eastAsiaTheme="minorHAnsi" w:cs="Calibri"/>
          <w:szCs w:val="20"/>
          <w:lang w:val="en-US"/>
        </w:rPr>
        <w:t>same period in 202</w:t>
      </w:r>
      <w:r w:rsidR="00193EE8" w:rsidRPr="0085055B">
        <w:rPr>
          <w:rFonts w:eastAsiaTheme="minorHAnsi" w:cs="Calibri"/>
          <w:szCs w:val="20"/>
          <w:lang w:val="en-US"/>
        </w:rPr>
        <w:t>3</w:t>
      </w:r>
      <w:r w:rsidR="002060BF" w:rsidRPr="0085055B">
        <w:rPr>
          <w:rFonts w:eastAsiaTheme="minorHAnsi" w:cs="Calibri"/>
          <w:szCs w:val="20"/>
          <w:lang w:val="en-US"/>
        </w:rPr>
        <w:t>.</w:t>
      </w:r>
    </w:p>
    <w:p w14:paraId="3EDC82D5" w14:textId="77777777" w:rsidR="00DF7943" w:rsidRPr="0085055B" w:rsidRDefault="00DF7943" w:rsidP="00BD3D9F">
      <w:pPr>
        <w:spacing w:before="120" w:line="276" w:lineRule="auto"/>
        <w:rPr>
          <w:rFonts w:eastAsiaTheme="minorHAnsi" w:cs="Calibri"/>
          <w:b/>
          <w:bCs/>
          <w:szCs w:val="20"/>
          <w:lang w:val="en-US"/>
        </w:rPr>
      </w:pPr>
      <w:r w:rsidRPr="0085055B">
        <w:rPr>
          <w:rFonts w:eastAsiaTheme="minorHAnsi" w:cs="Calibri"/>
          <w:b/>
          <w:bCs/>
          <w:szCs w:val="20"/>
          <w:lang w:val="en-US"/>
        </w:rPr>
        <w:t>Investments</w:t>
      </w:r>
    </w:p>
    <w:p w14:paraId="31A488F9" w14:textId="2A23801E" w:rsidR="00DF7943" w:rsidRPr="0085055B" w:rsidRDefault="00DF7943" w:rsidP="00BD3D9F">
      <w:pPr>
        <w:spacing w:before="120" w:line="276" w:lineRule="auto"/>
        <w:rPr>
          <w:rFonts w:eastAsiaTheme="minorHAnsi" w:cs="Calibri"/>
          <w:szCs w:val="20"/>
          <w:lang w:val="en-US"/>
        </w:rPr>
      </w:pPr>
      <w:r w:rsidRPr="0085055B">
        <w:rPr>
          <w:rFonts w:eastAsiaTheme="minorHAnsi" w:cs="Calibri"/>
          <w:szCs w:val="20"/>
          <w:lang w:val="en-US"/>
        </w:rPr>
        <w:t xml:space="preserve">The Group’s cash capital expenditures were CZK </w:t>
      </w:r>
      <w:r w:rsidR="009E4BED" w:rsidRPr="0085055B">
        <w:rPr>
          <w:rFonts w:eastAsiaTheme="minorHAnsi" w:cs="Calibri"/>
          <w:szCs w:val="20"/>
          <w:lang w:val="en-US"/>
        </w:rPr>
        <w:t>183.1</w:t>
      </w:r>
      <w:r w:rsidRPr="0085055B">
        <w:rPr>
          <w:rFonts w:eastAsiaTheme="minorHAnsi" w:cs="Calibri"/>
          <w:szCs w:val="20"/>
          <w:lang w:val="en-US"/>
        </w:rPr>
        <w:t xml:space="preserve"> million in the first three months of 202</w:t>
      </w:r>
      <w:r w:rsidR="009E4BED" w:rsidRPr="0085055B">
        <w:rPr>
          <w:rFonts w:eastAsiaTheme="minorHAnsi" w:cs="Calibri"/>
          <w:szCs w:val="20"/>
          <w:lang w:val="en-US"/>
        </w:rPr>
        <w:t>4</w:t>
      </w:r>
      <w:r w:rsidRPr="0085055B">
        <w:rPr>
          <w:rFonts w:eastAsiaTheme="minorHAnsi" w:cs="Calibri"/>
          <w:szCs w:val="20"/>
          <w:lang w:val="en-US"/>
        </w:rPr>
        <w:t xml:space="preserve">, up </w:t>
      </w:r>
      <w:r w:rsidR="005F438E" w:rsidRPr="0085055B">
        <w:rPr>
          <w:rFonts w:eastAsiaTheme="minorHAnsi" w:cs="Calibri"/>
          <w:szCs w:val="20"/>
          <w:lang w:val="en-US"/>
        </w:rPr>
        <w:t xml:space="preserve">by </w:t>
      </w:r>
      <w:r w:rsidR="009E4BED" w:rsidRPr="0085055B">
        <w:rPr>
          <w:rFonts w:eastAsiaTheme="minorHAnsi" w:cs="Calibri"/>
          <w:szCs w:val="20"/>
          <w:lang w:val="en-US"/>
        </w:rPr>
        <w:t>19.0</w:t>
      </w:r>
      <w:r w:rsidRPr="0085055B">
        <w:rPr>
          <w:rFonts w:eastAsiaTheme="minorHAnsi" w:cs="Calibri"/>
          <w:szCs w:val="20"/>
          <w:lang w:val="en-US"/>
        </w:rPr>
        <w:t>% y</w:t>
      </w:r>
      <w:r w:rsidR="002C1BD4" w:rsidRPr="0085055B">
        <w:rPr>
          <w:rFonts w:eastAsiaTheme="minorHAnsi" w:cs="Calibri"/>
          <w:szCs w:val="20"/>
          <w:lang w:val="en-US"/>
        </w:rPr>
        <w:t>-</w:t>
      </w:r>
      <w:r w:rsidRPr="0085055B">
        <w:rPr>
          <w:rFonts w:eastAsiaTheme="minorHAnsi" w:cs="Calibri"/>
          <w:szCs w:val="20"/>
          <w:lang w:val="en-US"/>
        </w:rPr>
        <w:t>o</w:t>
      </w:r>
      <w:r w:rsidR="002C1BD4" w:rsidRPr="0085055B">
        <w:rPr>
          <w:rFonts w:eastAsiaTheme="minorHAnsi" w:cs="Calibri"/>
          <w:szCs w:val="20"/>
          <w:lang w:val="en-US"/>
        </w:rPr>
        <w:t>-</w:t>
      </w:r>
      <w:r w:rsidRPr="0085055B">
        <w:rPr>
          <w:rFonts w:eastAsiaTheme="minorHAnsi" w:cs="Calibri"/>
          <w:szCs w:val="20"/>
          <w:lang w:val="en-US"/>
        </w:rPr>
        <w:t xml:space="preserve">y, representing </w:t>
      </w:r>
      <w:r w:rsidR="004B2B5F" w:rsidRPr="0085055B">
        <w:rPr>
          <w:rFonts w:eastAsiaTheme="minorHAnsi" w:cs="Calibri"/>
          <w:szCs w:val="20"/>
          <w:lang w:val="en-US"/>
        </w:rPr>
        <w:t>5</w:t>
      </w:r>
      <w:r w:rsidRPr="0085055B">
        <w:rPr>
          <w:rFonts w:eastAsiaTheme="minorHAnsi" w:cs="Calibri"/>
          <w:szCs w:val="20"/>
          <w:lang w:val="en-US"/>
        </w:rPr>
        <w:t>% of total revenues in this period, in line with the 202</w:t>
      </w:r>
      <w:r w:rsidR="009E4BED" w:rsidRPr="0085055B">
        <w:rPr>
          <w:rFonts w:eastAsiaTheme="minorHAnsi" w:cs="Calibri"/>
          <w:szCs w:val="20"/>
          <w:lang w:val="en-US"/>
        </w:rPr>
        <w:t>4</w:t>
      </w:r>
      <w:r w:rsidRPr="0085055B">
        <w:rPr>
          <w:rFonts w:eastAsiaTheme="minorHAnsi" w:cs="Calibri"/>
          <w:szCs w:val="20"/>
          <w:lang w:val="en-US"/>
        </w:rPr>
        <w:t xml:space="preserve"> guidance (approximately 5% of 202</w:t>
      </w:r>
      <w:r w:rsidR="009E4BED" w:rsidRPr="0085055B">
        <w:rPr>
          <w:rFonts w:eastAsiaTheme="minorHAnsi" w:cs="Calibri"/>
          <w:szCs w:val="20"/>
          <w:lang w:val="en-US"/>
        </w:rPr>
        <w:t>4</w:t>
      </w:r>
      <w:r w:rsidRPr="0085055B">
        <w:rPr>
          <w:rFonts w:eastAsiaTheme="minorHAnsi" w:cs="Calibri"/>
          <w:szCs w:val="20"/>
          <w:lang w:val="en-US"/>
        </w:rPr>
        <w:t xml:space="preserve"> revenues).</w:t>
      </w:r>
      <w:r w:rsidR="009E4BED" w:rsidRPr="0085055B">
        <w:rPr>
          <w:rFonts w:eastAsiaTheme="minorHAnsi" w:cs="Calibri"/>
          <w:szCs w:val="20"/>
          <w:lang w:val="en-US"/>
        </w:rPr>
        <w:t xml:space="preserve"> Approximately 39% of investments in the first quarter of the year went to the Czech Republic, 36% to North America and approximately 25% to companies in other countries, especially Switzerland.</w:t>
      </w:r>
    </w:p>
    <w:p w14:paraId="4634A51E" w14:textId="57FEA4B4" w:rsidR="00BD3D9F" w:rsidRPr="0085055B" w:rsidRDefault="00BD3D9F" w:rsidP="00BD3D9F">
      <w:pPr>
        <w:spacing w:before="120" w:line="276" w:lineRule="auto"/>
        <w:rPr>
          <w:rFonts w:eastAsiaTheme="minorHAnsi" w:cs="Calibri"/>
          <w:b/>
          <w:bCs/>
          <w:szCs w:val="20"/>
          <w:lang w:val="en-US"/>
        </w:rPr>
      </w:pPr>
      <w:r w:rsidRPr="0085055B">
        <w:rPr>
          <w:rFonts w:eastAsiaTheme="minorHAnsi" w:cs="Calibri"/>
          <w:b/>
          <w:bCs/>
          <w:szCs w:val="20"/>
          <w:lang w:val="en-US"/>
        </w:rPr>
        <w:t>202</w:t>
      </w:r>
      <w:r w:rsidR="009E4BED" w:rsidRPr="0085055B">
        <w:rPr>
          <w:rFonts w:eastAsiaTheme="minorHAnsi" w:cs="Calibri"/>
          <w:b/>
          <w:bCs/>
          <w:szCs w:val="20"/>
          <w:lang w:val="en-US"/>
        </w:rPr>
        <w:t>4</w:t>
      </w:r>
      <w:r w:rsidR="007B155C" w:rsidRPr="0085055B">
        <w:rPr>
          <w:rFonts w:eastAsiaTheme="minorHAnsi" w:cs="Calibri"/>
          <w:b/>
          <w:bCs/>
          <w:szCs w:val="20"/>
          <w:lang w:val="en-US"/>
        </w:rPr>
        <w:t xml:space="preserve"> </w:t>
      </w:r>
      <w:r w:rsidR="004B2B5F" w:rsidRPr="0085055B">
        <w:rPr>
          <w:rFonts w:eastAsiaTheme="minorHAnsi" w:cs="Calibri"/>
          <w:b/>
          <w:bCs/>
          <w:szCs w:val="20"/>
          <w:lang w:val="en-US"/>
        </w:rPr>
        <w:t>G</w:t>
      </w:r>
      <w:r w:rsidR="007B155C" w:rsidRPr="0085055B">
        <w:rPr>
          <w:rFonts w:eastAsiaTheme="minorHAnsi" w:cs="Calibri"/>
          <w:b/>
          <w:bCs/>
          <w:szCs w:val="20"/>
          <w:lang w:val="en-US"/>
        </w:rPr>
        <w:t xml:space="preserve">uidance </w:t>
      </w:r>
      <w:r w:rsidR="009E4BED" w:rsidRPr="0085055B">
        <w:rPr>
          <w:rFonts w:eastAsiaTheme="minorHAnsi" w:cs="Calibri"/>
          <w:b/>
          <w:bCs/>
          <w:szCs w:val="20"/>
          <w:lang w:val="en-US"/>
        </w:rPr>
        <w:t>Specification</w:t>
      </w:r>
    </w:p>
    <w:p w14:paraId="066CBDD7" w14:textId="0A0EB713" w:rsidR="009E4BED" w:rsidRPr="0085055B" w:rsidRDefault="009E4BED" w:rsidP="00BD3D9F">
      <w:pPr>
        <w:spacing w:before="120" w:line="276" w:lineRule="auto"/>
        <w:rPr>
          <w:rFonts w:eastAsiaTheme="minorHAnsi" w:cs="Calibri"/>
          <w:szCs w:val="20"/>
          <w:lang w:val="en-US"/>
        </w:rPr>
      </w:pPr>
      <w:r w:rsidRPr="0085055B">
        <w:rPr>
          <w:rFonts w:eastAsiaTheme="minorHAnsi" w:cs="Calibri"/>
          <w:szCs w:val="20"/>
          <w:lang w:val="en-US"/>
        </w:rPr>
        <w:t>Due to the quarterly seasonality of sales, which has had a significant impact on the financial result</w:t>
      </w:r>
      <w:r w:rsidR="00193EE8" w:rsidRPr="0085055B">
        <w:rPr>
          <w:rFonts w:eastAsiaTheme="minorHAnsi" w:cs="Calibri"/>
          <w:szCs w:val="20"/>
          <w:lang w:val="en-US"/>
        </w:rPr>
        <w:t>s</w:t>
      </w:r>
      <w:r w:rsidRPr="0085055B">
        <w:rPr>
          <w:rFonts w:eastAsiaTheme="minorHAnsi" w:cs="Calibri"/>
          <w:szCs w:val="20"/>
          <w:lang w:val="en-US"/>
        </w:rPr>
        <w:t xml:space="preserve"> in the first half of 2024, the Company decided to specify the guidance for the first six months of 2024 till June 30, 2024. This guidance also includes the partial consolidation of the acquisition of Sellier &amp; Bellot from May 16, 2024.</w:t>
      </w:r>
    </w:p>
    <w:p w14:paraId="2B66323B" w14:textId="2EF6B659" w:rsidR="009E4BED" w:rsidRPr="0085055B" w:rsidRDefault="009E4BED" w:rsidP="009E4BED">
      <w:pPr>
        <w:spacing w:before="240" w:after="120"/>
        <w:rPr>
          <w:rFonts w:eastAsiaTheme="minorHAnsi" w:cs="Calibri"/>
          <w:b/>
          <w:bCs/>
          <w:szCs w:val="20"/>
          <w:lang w:val="en-US"/>
        </w:rPr>
      </w:pPr>
      <w:r w:rsidRPr="0085055B">
        <w:rPr>
          <w:rFonts w:eastAsiaTheme="minorHAnsi" w:cs="Calibri"/>
          <w:b/>
          <w:bCs/>
          <w:szCs w:val="20"/>
          <w:lang w:val="en-US"/>
        </w:rPr>
        <w:t>6M Guidance till June 30, 2024</w:t>
      </w:r>
    </w:p>
    <w:tbl>
      <w:tblPr>
        <w:tblStyle w:val="Tabulkasmkou2zvraznn3"/>
        <w:tblW w:w="0" w:type="auto"/>
        <w:tblLook w:val="04A0" w:firstRow="1" w:lastRow="0" w:firstColumn="1" w:lastColumn="0" w:noHBand="0" w:noVBand="1"/>
      </w:tblPr>
      <w:tblGrid>
        <w:gridCol w:w="2410"/>
        <w:gridCol w:w="2268"/>
        <w:gridCol w:w="1980"/>
        <w:gridCol w:w="2120"/>
      </w:tblGrid>
      <w:tr w:rsidR="009E4BED" w:rsidRPr="0085055B" w14:paraId="605CEE4C" w14:textId="77777777" w:rsidTr="00516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A1CDCA" w14:textId="26FCE2B1" w:rsidR="009E4BED" w:rsidRPr="0085055B" w:rsidRDefault="009E4BED" w:rsidP="00185A45">
            <w:pPr>
              <w:spacing w:before="120" w:after="120"/>
              <w:rPr>
                <w:rFonts w:eastAsiaTheme="minorHAnsi" w:cs="Calibri"/>
                <w:sz w:val="16"/>
                <w:szCs w:val="16"/>
                <w:lang w:val="en-US"/>
              </w:rPr>
            </w:pPr>
            <w:r w:rsidRPr="0085055B">
              <w:rPr>
                <w:rFonts w:eastAsiaTheme="minorHAnsi" w:cs="Calibri"/>
                <w:sz w:val="16"/>
                <w:szCs w:val="16"/>
                <w:lang w:val="en-US"/>
              </w:rPr>
              <w:t xml:space="preserve">In CZK mm </w:t>
            </w:r>
          </w:p>
        </w:tc>
        <w:tc>
          <w:tcPr>
            <w:tcW w:w="2268" w:type="dxa"/>
          </w:tcPr>
          <w:p w14:paraId="7C607560" w14:textId="5444CE34" w:rsidR="009E4BED" w:rsidRPr="0085055B" w:rsidRDefault="005163A5" w:rsidP="00185A45">
            <w:pPr>
              <w:spacing w:before="120" w:after="120"/>
              <w:jc w:val="right"/>
              <w:cnfStyle w:val="100000000000" w:firstRow="1"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6M guidance till June 30, 2024</w:t>
            </w:r>
          </w:p>
        </w:tc>
        <w:tc>
          <w:tcPr>
            <w:tcW w:w="1980" w:type="dxa"/>
          </w:tcPr>
          <w:p w14:paraId="1B83F085" w14:textId="3D12825C" w:rsidR="009E4BED" w:rsidRPr="0085055B" w:rsidRDefault="005163A5" w:rsidP="00185A45">
            <w:pPr>
              <w:spacing w:before="120" w:after="120"/>
              <w:jc w:val="right"/>
              <w:cnfStyle w:val="100000000000" w:firstRow="1"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6M 2023 Colt CZ</w:t>
            </w:r>
          </w:p>
        </w:tc>
        <w:tc>
          <w:tcPr>
            <w:tcW w:w="2120" w:type="dxa"/>
          </w:tcPr>
          <w:p w14:paraId="2FAECF8C" w14:textId="22FA6847" w:rsidR="009E4BED" w:rsidRPr="0085055B" w:rsidRDefault="005163A5" w:rsidP="00185A45">
            <w:pPr>
              <w:spacing w:before="120" w:after="120"/>
              <w:jc w:val="right"/>
              <w:cnfStyle w:val="100000000000" w:firstRow="1"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y-o-y change in %</w:t>
            </w:r>
          </w:p>
        </w:tc>
      </w:tr>
      <w:tr w:rsidR="009E4BED" w:rsidRPr="0085055B" w14:paraId="3462F070" w14:textId="77777777" w:rsidTr="0051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82EBB8A" w14:textId="20B552EC" w:rsidR="009E4BED" w:rsidRPr="0085055B" w:rsidRDefault="005163A5" w:rsidP="00185A45">
            <w:pPr>
              <w:spacing w:before="120" w:after="120"/>
              <w:jc w:val="left"/>
              <w:rPr>
                <w:rFonts w:eastAsiaTheme="minorHAnsi" w:cs="Calibri"/>
                <w:b w:val="0"/>
                <w:bCs w:val="0"/>
                <w:sz w:val="16"/>
                <w:szCs w:val="16"/>
                <w:lang w:val="en-US"/>
              </w:rPr>
            </w:pPr>
            <w:r w:rsidRPr="0085055B">
              <w:rPr>
                <w:rFonts w:eastAsiaTheme="minorHAnsi" w:cs="Calibri"/>
                <w:sz w:val="16"/>
                <w:szCs w:val="16"/>
                <w:lang w:val="en-US"/>
              </w:rPr>
              <w:t>Colt CZ Group standalone</w:t>
            </w:r>
          </w:p>
        </w:tc>
        <w:tc>
          <w:tcPr>
            <w:tcW w:w="2268" w:type="dxa"/>
          </w:tcPr>
          <w:p w14:paraId="63DD867B" w14:textId="77777777" w:rsidR="009E4BED" w:rsidRPr="0085055B" w:rsidRDefault="009E4BED" w:rsidP="00185A45">
            <w:pPr>
              <w:spacing w:before="120" w:after="120"/>
              <w:cnfStyle w:val="000000100000" w:firstRow="0" w:lastRow="0" w:firstColumn="0" w:lastColumn="0" w:oddVBand="0" w:evenVBand="0" w:oddHBand="1" w:evenHBand="0" w:firstRowFirstColumn="0" w:firstRowLastColumn="0" w:lastRowFirstColumn="0" w:lastRowLastColumn="0"/>
              <w:rPr>
                <w:rFonts w:eastAsiaTheme="minorHAnsi" w:cs="Calibri"/>
                <w:sz w:val="14"/>
                <w:szCs w:val="14"/>
                <w:lang w:val="en-US"/>
              </w:rPr>
            </w:pPr>
          </w:p>
        </w:tc>
        <w:tc>
          <w:tcPr>
            <w:tcW w:w="1980" w:type="dxa"/>
          </w:tcPr>
          <w:p w14:paraId="447D055C" w14:textId="77777777" w:rsidR="009E4BED" w:rsidRPr="0085055B" w:rsidRDefault="009E4BED" w:rsidP="00185A45">
            <w:pPr>
              <w:spacing w:before="120" w:after="120"/>
              <w:cnfStyle w:val="000000100000" w:firstRow="0" w:lastRow="0" w:firstColumn="0" w:lastColumn="0" w:oddVBand="0" w:evenVBand="0" w:oddHBand="1" w:evenHBand="0" w:firstRowFirstColumn="0" w:firstRowLastColumn="0" w:lastRowFirstColumn="0" w:lastRowLastColumn="0"/>
              <w:rPr>
                <w:rFonts w:eastAsiaTheme="minorHAnsi" w:cs="Calibri"/>
                <w:sz w:val="14"/>
                <w:szCs w:val="14"/>
                <w:lang w:val="en-US"/>
              </w:rPr>
            </w:pPr>
          </w:p>
        </w:tc>
        <w:tc>
          <w:tcPr>
            <w:tcW w:w="2120" w:type="dxa"/>
          </w:tcPr>
          <w:p w14:paraId="0B436AC0" w14:textId="77777777" w:rsidR="009E4BED" w:rsidRPr="0085055B" w:rsidRDefault="009E4BED" w:rsidP="00185A45">
            <w:pPr>
              <w:spacing w:before="120" w:after="120"/>
              <w:cnfStyle w:val="000000100000" w:firstRow="0" w:lastRow="0" w:firstColumn="0" w:lastColumn="0" w:oddVBand="0" w:evenVBand="0" w:oddHBand="1" w:evenHBand="0" w:firstRowFirstColumn="0" w:firstRowLastColumn="0" w:lastRowFirstColumn="0" w:lastRowLastColumn="0"/>
              <w:rPr>
                <w:rFonts w:eastAsiaTheme="minorHAnsi" w:cs="Calibri"/>
                <w:sz w:val="14"/>
                <w:szCs w:val="14"/>
                <w:lang w:val="en-US"/>
              </w:rPr>
            </w:pPr>
          </w:p>
        </w:tc>
      </w:tr>
      <w:tr w:rsidR="005163A5" w:rsidRPr="0085055B" w14:paraId="4F637F2C" w14:textId="77777777" w:rsidTr="005163A5">
        <w:tc>
          <w:tcPr>
            <w:cnfStyle w:val="001000000000" w:firstRow="0" w:lastRow="0" w:firstColumn="1" w:lastColumn="0" w:oddVBand="0" w:evenVBand="0" w:oddHBand="0" w:evenHBand="0" w:firstRowFirstColumn="0" w:firstRowLastColumn="0" w:lastRowFirstColumn="0" w:lastRowLastColumn="0"/>
            <w:tcW w:w="2410" w:type="dxa"/>
          </w:tcPr>
          <w:p w14:paraId="52AEC45D" w14:textId="1D14C6CC" w:rsidR="005163A5" w:rsidRPr="0085055B" w:rsidRDefault="005163A5" w:rsidP="005163A5">
            <w:pPr>
              <w:spacing w:before="120" w:after="120"/>
              <w:jc w:val="right"/>
              <w:rPr>
                <w:rFonts w:eastAsiaTheme="minorHAnsi" w:cs="Calibri"/>
                <w:sz w:val="16"/>
                <w:szCs w:val="16"/>
                <w:lang w:val="en-US"/>
              </w:rPr>
            </w:pPr>
            <w:r w:rsidRPr="0085055B">
              <w:rPr>
                <w:sz w:val="16"/>
                <w:szCs w:val="16"/>
                <w:lang w:val="en-US"/>
              </w:rPr>
              <w:t>Revenues</w:t>
            </w:r>
          </w:p>
        </w:tc>
        <w:tc>
          <w:tcPr>
            <w:tcW w:w="2268" w:type="dxa"/>
          </w:tcPr>
          <w:p w14:paraId="15B00F29" w14:textId="216B6675" w:rsidR="005163A5" w:rsidRPr="0085055B" w:rsidRDefault="005163A5"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8,400–8,600</w:t>
            </w:r>
          </w:p>
        </w:tc>
        <w:tc>
          <w:tcPr>
            <w:tcW w:w="1980" w:type="dxa"/>
          </w:tcPr>
          <w:p w14:paraId="1E425689" w14:textId="138475F0" w:rsidR="005163A5" w:rsidRPr="0085055B" w:rsidRDefault="005163A5"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6,860</w:t>
            </w:r>
          </w:p>
        </w:tc>
        <w:tc>
          <w:tcPr>
            <w:tcW w:w="2120" w:type="dxa"/>
          </w:tcPr>
          <w:p w14:paraId="71FE99E9" w14:textId="14CD25A2" w:rsidR="005163A5" w:rsidRPr="0085055B" w:rsidRDefault="005163A5"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22.4%–25.4%</w:t>
            </w:r>
          </w:p>
        </w:tc>
      </w:tr>
      <w:tr w:rsidR="005163A5" w:rsidRPr="0085055B" w14:paraId="6E84017A" w14:textId="77777777" w:rsidTr="0051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7129AD2" w14:textId="4CE72408" w:rsidR="005163A5" w:rsidRPr="0085055B" w:rsidRDefault="005163A5" w:rsidP="005163A5">
            <w:pPr>
              <w:spacing w:before="120" w:after="120"/>
              <w:jc w:val="right"/>
              <w:rPr>
                <w:rFonts w:eastAsiaTheme="minorHAnsi" w:cs="Calibri"/>
                <w:sz w:val="16"/>
                <w:szCs w:val="16"/>
                <w:lang w:val="en-US"/>
              </w:rPr>
            </w:pPr>
            <w:r w:rsidRPr="0085055B">
              <w:rPr>
                <w:sz w:val="16"/>
                <w:szCs w:val="16"/>
                <w:lang w:val="en-US"/>
              </w:rPr>
              <w:t>Adjusted EBITDA</w:t>
            </w:r>
          </w:p>
        </w:tc>
        <w:tc>
          <w:tcPr>
            <w:tcW w:w="2268" w:type="dxa"/>
          </w:tcPr>
          <w:p w14:paraId="5FCA29FA" w14:textId="75A62896"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1,4</w:t>
            </w:r>
            <w:r w:rsidR="000469CC">
              <w:rPr>
                <w:rFonts w:eastAsiaTheme="minorHAnsi" w:cs="Calibri"/>
                <w:sz w:val="16"/>
                <w:szCs w:val="16"/>
                <w:lang w:val="en-US"/>
              </w:rPr>
              <w:t>5</w:t>
            </w:r>
            <w:r w:rsidRPr="0085055B">
              <w:rPr>
                <w:rFonts w:eastAsiaTheme="minorHAnsi" w:cs="Calibri"/>
                <w:sz w:val="16"/>
                <w:szCs w:val="16"/>
                <w:lang w:val="en-US"/>
              </w:rPr>
              <w:t>0–1,600</w:t>
            </w:r>
          </w:p>
        </w:tc>
        <w:tc>
          <w:tcPr>
            <w:tcW w:w="1980" w:type="dxa"/>
          </w:tcPr>
          <w:p w14:paraId="69B944CB" w14:textId="539EED5C"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1,464</w:t>
            </w:r>
          </w:p>
        </w:tc>
        <w:tc>
          <w:tcPr>
            <w:tcW w:w="2120" w:type="dxa"/>
          </w:tcPr>
          <w:p w14:paraId="03910BF2" w14:textId="1C1BEFE5"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w:t>
            </w:r>
            <w:r w:rsidR="000469CC">
              <w:rPr>
                <w:rFonts w:eastAsiaTheme="minorHAnsi" w:cs="Calibri"/>
                <w:sz w:val="16"/>
                <w:szCs w:val="16"/>
                <w:lang w:val="en-US"/>
              </w:rPr>
              <w:t>1.0)</w:t>
            </w:r>
            <w:r w:rsidRPr="0085055B">
              <w:rPr>
                <w:rFonts w:eastAsiaTheme="minorHAnsi" w:cs="Calibri"/>
                <w:sz w:val="16"/>
                <w:szCs w:val="16"/>
                <w:lang w:val="en-US"/>
              </w:rPr>
              <w:t>%–9.3%</w:t>
            </w:r>
          </w:p>
        </w:tc>
      </w:tr>
      <w:tr w:rsidR="009E4BED" w:rsidRPr="0085055B" w14:paraId="5427CE24" w14:textId="77777777" w:rsidTr="005163A5">
        <w:tc>
          <w:tcPr>
            <w:cnfStyle w:val="001000000000" w:firstRow="0" w:lastRow="0" w:firstColumn="1" w:lastColumn="0" w:oddVBand="0" w:evenVBand="0" w:oddHBand="0" w:evenHBand="0" w:firstRowFirstColumn="0" w:firstRowLastColumn="0" w:lastRowFirstColumn="0" w:lastRowLastColumn="0"/>
            <w:tcW w:w="2410" w:type="dxa"/>
          </w:tcPr>
          <w:p w14:paraId="593998DC" w14:textId="7F17BF85" w:rsidR="009E4BED" w:rsidRPr="0085055B" w:rsidRDefault="005163A5" w:rsidP="00185A45">
            <w:pPr>
              <w:spacing w:before="120" w:after="120"/>
              <w:jc w:val="left"/>
              <w:rPr>
                <w:rFonts w:eastAsiaTheme="minorHAnsi" w:cs="Calibri"/>
                <w:b w:val="0"/>
                <w:bCs w:val="0"/>
                <w:sz w:val="16"/>
                <w:szCs w:val="16"/>
                <w:lang w:val="en-US"/>
              </w:rPr>
            </w:pPr>
            <w:r w:rsidRPr="0085055B">
              <w:rPr>
                <w:rFonts w:eastAsiaTheme="minorHAnsi" w:cs="Calibri"/>
                <w:sz w:val="16"/>
                <w:szCs w:val="16"/>
                <w:lang w:val="en-US"/>
              </w:rPr>
              <w:t>Colt CZ Group with expected contribution of Sellier &amp; Bellot</w:t>
            </w:r>
          </w:p>
        </w:tc>
        <w:tc>
          <w:tcPr>
            <w:tcW w:w="2268" w:type="dxa"/>
          </w:tcPr>
          <w:p w14:paraId="11AA0D5C" w14:textId="77777777" w:rsidR="009E4BED" w:rsidRPr="0085055B" w:rsidRDefault="009E4BED" w:rsidP="00185A45">
            <w:pPr>
              <w:spacing w:before="120" w:after="120"/>
              <w:cnfStyle w:val="000000000000" w:firstRow="0" w:lastRow="0" w:firstColumn="0" w:lastColumn="0" w:oddVBand="0" w:evenVBand="0" w:oddHBand="0" w:evenHBand="0" w:firstRowFirstColumn="0" w:firstRowLastColumn="0" w:lastRowFirstColumn="0" w:lastRowLastColumn="0"/>
              <w:rPr>
                <w:rFonts w:eastAsiaTheme="minorHAnsi" w:cs="Calibri"/>
                <w:sz w:val="14"/>
                <w:szCs w:val="14"/>
                <w:lang w:val="en-US"/>
              </w:rPr>
            </w:pPr>
          </w:p>
        </w:tc>
        <w:tc>
          <w:tcPr>
            <w:tcW w:w="1980" w:type="dxa"/>
          </w:tcPr>
          <w:p w14:paraId="43CF494E" w14:textId="77777777" w:rsidR="009E4BED" w:rsidRPr="0085055B" w:rsidRDefault="009E4BED" w:rsidP="00185A4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4"/>
                <w:szCs w:val="14"/>
                <w:lang w:val="en-US"/>
              </w:rPr>
            </w:pPr>
          </w:p>
        </w:tc>
        <w:tc>
          <w:tcPr>
            <w:tcW w:w="2120" w:type="dxa"/>
          </w:tcPr>
          <w:p w14:paraId="023C08BC" w14:textId="77777777" w:rsidR="009E4BED" w:rsidRPr="0085055B" w:rsidRDefault="009E4BED" w:rsidP="00185A4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4"/>
                <w:szCs w:val="14"/>
                <w:lang w:val="en-US"/>
              </w:rPr>
            </w:pPr>
          </w:p>
        </w:tc>
      </w:tr>
      <w:tr w:rsidR="005163A5" w:rsidRPr="0085055B" w14:paraId="09F1B49C" w14:textId="77777777" w:rsidTr="0051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1C1D9D" w14:textId="2DC76FF1" w:rsidR="005163A5" w:rsidRPr="0085055B" w:rsidRDefault="005163A5" w:rsidP="005163A5">
            <w:pPr>
              <w:spacing w:before="120" w:after="120"/>
              <w:jc w:val="right"/>
              <w:rPr>
                <w:rFonts w:eastAsiaTheme="minorHAnsi" w:cs="Calibri"/>
                <w:sz w:val="16"/>
                <w:szCs w:val="16"/>
                <w:lang w:val="en-US"/>
              </w:rPr>
            </w:pPr>
            <w:r w:rsidRPr="0085055B">
              <w:rPr>
                <w:sz w:val="16"/>
                <w:szCs w:val="16"/>
                <w:lang w:val="en-US"/>
              </w:rPr>
              <w:t>Revenues</w:t>
            </w:r>
          </w:p>
        </w:tc>
        <w:tc>
          <w:tcPr>
            <w:tcW w:w="2268" w:type="dxa"/>
          </w:tcPr>
          <w:p w14:paraId="4FA8D50B" w14:textId="71C50189"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9,000–9,200</w:t>
            </w:r>
          </w:p>
        </w:tc>
        <w:tc>
          <w:tcPr>
            <w:tcW w:w="1980" w:type="dxa"/>
          </w:tcPr>
          <w:p w14:paraId="1B01EC01" w14:textId="4D426D05"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6,860</w:t>
            </w:r>
          </w:p>
        </w:tc>
        <w:tc>
          <w:tcPr>
            <w:tcW w:w="2120" w:type="dxa"/>
          </w:tcPr>
          <w:p w14:paraId="33C79025" w14:textId="71D8589A" w:rsidR="005163A5" w:rsidRPr="0085055B" w:rsidRDefault="005163A5" w:rsidP="005163A5">
            <w:pPr>
              <w:spacing w:before="120" w:after="120"/>
              <w:jc w:val="right"/>
              <w:cnfStyle w:val="000000100000" w:firstRow="0" w:lastRow="0" w:firstColumn="0" w:lastColumn="0" w:oddVBand="0" w:evenVBand="0" w:oddHBand="1"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31.2%–34.1%</w:t>
            </w:r>
          </w:p>
        </w:tc>
      </w:tr>
      <w:tr w:rsidR="005163A5" w:rsidRPr="0085055B" w14:paraId="06994E82" w14:textId="77777777" w:rsidTr="005163A5">
        <w:tc>
          <w:tcPr>
            <w:cnfStyle w:val="001000000000" w:firstRow="0" w:lastRow="0" w:firstColumn="1" w:lastColumn="0" w:oddVBand="0" w:evenVBand="0" w:oddHBand="0" w:evenHBand="0" w:firstRowFirstColumn="0" w:firstRowLastColumn="0" w:lastRowFirstColumn="0" w:lastRowLastColumn="0"/>
            <w:tcW w:w="2410" w:type="dxa"/>
          </w:tcPr>
          <w:p w14:paraId="18AA7DFF" w14:textId="3F6C37C3" w:rsidR="005163A5" w:rsidRPr="0085055B" w:rsidRDefault="005163A5" w:rsidP="005163A5">
            <w:pPr>
              <w:spacing w:before="120" w:after="120"/>
              <w:jc w:val="right"/>
              <w:rPr>
                <w:rFonts w:eastAsiaTheme="minorHAnsi" w:cs="Calibri"/>
                <w:sz w:val="16"/>
                <w:szCs w:val="16"/>
                <w:lang w:val="en-US"/>
              </w:rPr>
            </w:pPr>
            <w:r w:rsidRPr="0085055B">
              <w:rPr>
                <w:sz w:val="16"/>
                <w:szCs w:val="16"/>
                <w:lang w:val="en-US"/>
              </w:rPr>
              <w:t>Adjusted EBITDA</w:t>
            </w:r>
          </w:p>
        </w:tc>
        <w:tc>
          <w:tcPr>
            <w:tcW w:w="2268" w:type="dxa"/>
          </w:tcPr>
          <w:p w14:paraId="5FB05163" w14:textId="7CC68F28" w:rsidR="005163A5" w:rsidRPr="0085055B" w:rsidRDefault="005163A5"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1,6</w:t>
            </w:r>
            <w:r w:rsidR="000469CC">
              <w:rPr>
                <w:rFonts w:eastAsiaTheme="minorHAnsi" w:cs="Calibri"/>
                <w:sz w:val="16"/>
                <w:szCs w:val="16"/>
                <w:lang w:val="en-US"/>
              </w:rPr>
              <w:t>5</w:t>
            </w:r>
            <w:r w:rsidRPr="0085055B">
              <w:rPr>
                <w:rFonts w:eastAsiaTheme="minorHAnsi" w:cs="Calibri"/>
                <w:sz w:val="16"/>
                <w:szCs w:val="16"/>
                <w:lang w:val="en-US"/>
              </w:rPr>
              <w:t>0–1,800</w:t>
            </w:r>
          </w:p>
        </w:tc>
        <w:tc>
          <w:tcPr>
            <w:tcW w:w="1980" w:type="dxa"/>
          </w:tcPr>
          <w:p w14:paraId="0A2F342F" w14:textId="4E9CFBFE" w:rsidR="005163A5" w:rsidRPr="0085055B" w:rsidRDefault="005163A5"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sidRPr="0085055B">
              <w:rPr>
                <w:rFonts w:eastAsiaTheme="minorHAnsi" w:cs="Calibri"/>
                <w:sz w:val="16"/>
                <w:szCs w:val="16"/>
                <w:lang w:val="en-US"/>
              </w:rPr>
              <w:t>1,464</w:t>
            </w:r>
          </w:p>
        </w:tc>
        <w:tc>
          <w:tcPr>
            <w:tcW w:w="2120" w:type="dxa"/>
          </w:tcPr>
          <w:p w14:paraId="4FF1B428" w14:textId="2904134A" w:rsidR="005163A5" w:rsidRPr="0085055B" w:rsidRDefault="000469CC" w:rsidP="005163A5">
            <w:pPr>
              <w:spacing w:before="120" w:after="120"/>
              <w:jc w:val="right"/>
              <w:cnfStyle w:val="000000000000" w:firstRow="0" w:lastRow="0" w:firstColumn="0" w:lastColumn="0" w:oddVBand="0" w:evenVBand="0" w:oddHBand="0" w:evenHBand="0" w:firstRowFirstColumn="0" w:firstRowLastColumn="0" w:lastRowFirstColumn="0" w:lastRowLastColumn="0"/>
              <w:rPr>
                <w:rFonts w:eastAsiaTheme="minorHAnsi" w:cs="Calibri"/>
                <w:sz w:val="16"/>
                <w:szCs w:val="16"/>
                <w:lang w:val="en-US"/>
              </w:rPr>
            </w:pPr>
            <w:r>
              <w:rPr>
                <w:rFonts w:eastAsiaTheme="minorHAnsi" w:cs="Calibri"/>
                <w:sz w:val="16"/>
                <w:szCs w:val="16"/>
                <w:lang w:val="en-US"/>
              </w:rPr>
              <w:t>12.0</w:t>
            </w:r>
            <w:r w:rsidR="005163A5" w:rsidRPr="0085055B">
              <w:rPr>
                <w:rFonts w:eastAsiaTheme="minorHAnsi" w:cs="Calibri"/>
                <w:sz w:val="16"/>
                <w:szCs w:val="16"/>
                <w:lang w:val="en-US"/>
              </w:rPr>
              <w:t>%–23.0%</w:t>
            </w:r>
          </w:p>
        </w:tc>
      </w:tr>
    </w:tbl>
    <w:p w14:paraId="0B21F577" w14:textId="77777777" w:rsidR="0085055B" w:rsidRDefault="0085055B" w:rsidP="00744D82">
      <w:pPr>
        <w:spacing w:before="120" w:line="276" w:lineRule="auto"/>
        <w:rPr>
          <w:rFonts w:eastAsiaTheme="minorHAnsi" w:cs="Calibri"/>
          <w:szCs w:val="20"/>
          <w:lang w:val="en-US"/>
        </w:rPr>
      </w:pPr>
    </w:p>
    <w:p w14:paraId="4CBF6C4C" w14:textId="05F10A3A" w:rsidR="00744D82" w:rsidRDefault="005163A5" w:rsidP="00744D82">
      <w:pPr>
        <w:spacing w:before="120" w:line="276" w:lineRule="auto"/>
        <w:rPr>
          <w:rFonts w:eastAsiaTheme="minorHAnsi" w:cs="Calibri"/>
          <w:szCs w:val="20"/>
          <w:lang w:val="en-US"/>
        </w:rPr>
      </w:pPr>
      <w:r w:rsidRPr="0085055B">
        <w:rPr>
          <w:rFonts w:eastAsiaTheme="minorHAnsi" w:cs="Calibri"/>
          <w:szCs w:val="20"/>
          <w:lang w:val="en-US"/>
        </w:rPr>
        <w:t xml:space="preserve">The guidance for the year 2024 of Colt CZ Group will be further influenced by </w:t>
      </w:r>
      <w:r w:rsidR="00193EE8" w:rsidRPr="0085055B">
        <w:rPr>
          <w:rFonts w:eastAsiaTheme="minorHAnsi" w:cs="Calibri"/>
          <w:szCs w:val="20"/>
          <w:lang w:val="en-US"/>
        </w:rPr>
        <w:t>several</w:t>
      </w:r>
      <w:r w:rsidRPr="0085055B">
        <w:rPr>
          <w:rFonts w:eastAsiaTheme="minorHAnsi" w:cs="Calibri"/>
          <w:szCs w:val="20"/>
          <w:lang w:val="en-US"/>
        </w:rPr>
        <w:t xml:space="preserve"> external factors that affected Group´s financial results last year. These are primarily 1) the development of demand on global markets, in the USA and in the Czech Republic (also in the context of the ongoing conflict in Ukraine), 2) further inflationary pressures on the cost side and 3) impact of FX translation of USD and EUR into CZK. In addition, the outlook for financial results in 2024 will be </w:t>
      </w:r>
      <w:r w:rsidR="00193EE8" w:rsidRPr="0085055B">
        <w:rPr>
          <w:rFonts w:eastAsiaTheme="minorHAnsi" w:cs="Calibri"/>
          <w:szCs w:val="20"/>
          <w:lang w:val="en-US"/>
        </w:rPr>
        <w:t>influenced</w:t>
      </w:r>
      <w:r w:rsidRPr="0085055B">
        <w:rPr>
          <w:rFonts w:eastAsiaTheme="minorHAnsi" w:cs="Calibri"/>
          <w:szCs w:val="20"/>
          <w:lang w:val="en-US"/>
        </w:rPr>
        <w:t xml:space="preserve"> by the acquisition of Sellier &amp; Bellot. The outlook will therefore be reviewed in the course of 2024, depending on the development of financial results of today’s Group as well as the new acquisition.</w:t>
      </w:r>
    </w:p>
    <w:p w14:paraId="1A1EBDBA" w14:textId="28614E1B" w:rsidR="0085055B" w:rsidRDefault="0085055B">
      <w:pPr>
        <w:spacing w:before="0" w:after="0"/>
        <w:jc w:val="left"/>
        <w:rPr>
          <w:rFonts w:eastAsiaTheme="minorHAnsi" w:cs="Calibri"/>
          <w:szCs w:val="20"/>
          <w:lang w:val="en-US"/>
        </w:rPr>
      </w:pPr>
      <w:r>
        <w:rPr>
          <w:rFonts w:eastAsiaTheme="minorHAnsi" w:cs="Calibri"/>
          <w:szCs w:val="20"/>
          <w:lang w:val="en-US"/>
        </w:rPr>
        <w:br w:type="page"/>
      </w:r>
    </w:p>
    <w:p w14:paraId="37FE2ADD" w14:textId="77777777" w:rsidR="0085055B" w:rsidRPr="0085055B" w:rsidRDefault="0085055B" w:rsidP="00744D82">
      <w:pPr>
        <w:spacing w:before="120" w:line="276" w:lineRule="auto"/>
        <w:rPr>
          <w:rFonts w:eastAsiaTheme="minorHAnsi" w:cs="Calibri"/>
          <w:szCs w:val="20"/>
          <w:lang w:val="en-US"/>
        </w:rPr>
      </w:pPr>
    </w:p>
    <w:tbl>
      <w:tblPr>
        <w:tblStyle w:val="Mkatabulky"/>
        <w:tblW w:w="0" w:type="auto"/>
        <w:tblLook w:val="04A0" w:firstRow="1" w:lastRow="0" w:firstColumn="1" w:lastColumn="0" w:noHBand="0" w:noVBand="1"/>
      </w:tblPr>
      <w:tblGrid>
        <w:gridCol w:w="2926"/>
        <w:gridCol w:w="2926"/>
        <w:gridCol w:w="2926"/>
      </w:tblGrid>
      <w:tr w:rsidR="005163A5" w:rsidRPr="0085055B" w14:paraId="7AD71708" w14:textId="77777777" w:rsidTr="00185A45">
        <w:tc>
          <w:tcPr>
            <w:tcW w:w="2926" w:type="dxa"/>
          </w:tcPr>
          <w:p w14:paraId="73C15E9A" w14:textId="77777777" w:rsidR="005163A5" w:rsidRPr="0085055B" w:rsidRDefault="005163A5" w:rsidP="00185A45">
            <w:pPr>
              <w:spacing w:before="120" w:after="0"/>
              <w:rPr>
                <w:rFonts w:eastAsiaTheme="minorHAnsi" w:cs="Calibri"/>
                <w:sz w:val="16"/>
                <w:szCs w:val="16"/>
                <w:lang w:val="en-US"/>
              </w:rPr>
            </w:pPr>
            <w:r w:rsidRPr="0085055B">
              <w:rPr>
                <w:rFonts w:eastAsiaTheme="minorHAnsi" w:cs="Calibri"/>
                <w:sz w:val="16"/>
                <w:szCs w:val="16"/>
                <w:lang w:val="en-US"/>
              </w:rPr>
              <w:t>In 000‘CZK</w:t>
            </w:r>
          </w:p>
        </w:tc>
        <w:tc>
          <w:tcPr>
            <w:tcW w:w="2926" w:type="dxa"/>
          </w:tcPr>
          <w:p w14:paraId="5C571E6C"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Guidance</w:t>
            </w:r>
          </w:p>
        </w:tc>
        <w:tc>
          <w:tcPr>
            <w:tcW w:w="2926" w:type="dxa"/>
          </w:tcPr>
          <w:p w14:paraId="15370568" w14:textId="263F4E62" w:rsidR="005163A5" w:rsidRPr="0085055B" w:rsidRDefault="005F438E" w:rsidP="00185A45">
            <w:pPr>
              <w:spacing w:before="120" w:after="0"/>
              <w:jc w:val="right"/>
              <w:rPr>
                <w:rFonts w:eastAsiaTheme="minorHAnsi" w:cs="Calibri"/>
                <w:sz w:val="16"/>
                <w:szCs w:val="16"/>
                <w:lang w:val="en-US"/>
              </w:rPr>
            </w:pPr>
            <w:r w:rsidRPr="0085055B">
              <w:rPr>
                <w:rFonts w:eastAsiaTheme="minorHAnsi" w:cs="Calibri"/>
                <w:sz w:val="16"/>
                <w:szCs w:val="16"/>
                <w:lang w:val="en-US"/>
              </w:rPr>
              <w:t>y</w:t>
            </w:r>
            <w:r w:rsidR="005163A5" w:rsidRPr="0085055B">
              <w:rPr>
                <w:rFonts w:eastAsiaTheme="minorHAnsi" w:cs="Calibri"/>
                <w:sz w:val="16"/>
                <w:szCs w:val="16"/>
                <w:lang w:val="en-US"/>
              </w:rPr>
              <w:t>-o-y change in %</w:t>
            </w:r>
          </w:p>
        </w:tc>
      </w:tr>
      <w:tr w:rsidR="005163A5" w:rsidRPr="0085055B" w14:paraId="600389C1" w14:textId="77777777" w:rsidTr="00185A45">
        <w:tc>
          <w:tcPr>
            <w:tcW w:w="2926" w:type="dxa"/>
          </w:tcPr>
          <w:p w14:paraId="289B8D36" w14:textId="77777777" w:rsidR="005163A5" w:rsidRPr="0085055B" w:rsidRDefault="005163A5" w:rsidP="00185A45">
            <w:pPr>
              <w:spacing w:before="120" w:after="0"/>
              <w:rPr>
                <w:rFonts w:eastAsiaTheme="minorHAnsi" w:cs="Calibri"/>
                <w:b/>
                <w:bCs/>
                <w:sz w:val="16"/>
                <w:szCs w:val="16"/>
                <w:lang w:val="en-US"/>
              </w:rPr>
            </w:pPr>
            <w:r w:rsidRPr="0085055B">
              <w:rPr>
                <w:rFonts w:eastAsiaTheme="minorHAnsi" w:cs="Calibri"/>
                <w:b/>
                <w:bCs/>
                <w:sz w:val="16"/>
                <w:szCs w:val="16"/>
                <w:lang w:val="en-US"/>
              </w:rPr>
              <w:t>Colt CZ Group standalone</w:t>
            </w:r>
          </w:p>
        </w:tc>
        <w:tc>
          <w:tcPr>
            <w:tcW w:w="2926" w:type="dxa"/>
          </w:tcPr>
          <w:p w14:paraId="72851B78" w14:textId="77777777" w:rsidR="005163A5" w:rsidRPr="0085055B" w:rsidRDefault="005163A5" w:rsidP="00185A45">
            <w:pPr>
              <w:spacing w:before="120" w:after="0"/>
              <w:rPr>
                <w:rFonts w:eastAsiaTheme="minorHAnsi" w:cs="Calibri"/>
                <w:sz w:val="16"/>
                <w:szCs w:val="16"/>
                <w:lang w:val="en-US"/>
              </w:rPr>
            </w:pPr>
          </w:p>
        </w:tc>
        <w:tc>
          <w:tcPr>
            <w:tcW w:w="2926" w:type="dxa"/>
          </w:tcPr>
          <w:p w14:paraId="777BB60A" w14:textId="77777777" w:rsidR="005163A5" w:rsidRPr="0085055B" w:rsidRDefault="005163A5" w:rsidP="00185A45">
            <w:pPr>
              <w:spacing w:before="120" w:after="0"/>
              <w:rPr>
                <w:rFonts w:eastAsiaTheme="minorHAnsi" w:cs="Calibri"/>
                <w:sz w:val="16"/>
                <w:szCs w:val="16"/>
                <w:lang w:val="en-US"/>
              </w:rPr>
            </w:pPr>
          </w:p>
        </w:tc>
      </w:tr>
      <w:tr w:rsidR="005163A5" w:rsidRPr="0085055B" w14:paraId="407434B9" w14:textId="77777777" w:rsidTr="00185A45">
        <w:tc>
          <w:tcPr>
            <w:tcW w:w="2926" w:type="dxa"/>
          </w:tcPr>
          <w:p w14:paraId="02C88F27"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Revenues</w:t>
            </w:r>
          </w:p>
        </w:tc>
        <w:tc>
          <w:tcPr>
            <w:tcW w:w="2926" w:type="dxa"/>
          </w:tcPr>
          <w:p w14:paraId="63287D12" w14:textId="00BEC3BA"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16,200–17,800</w:t>
            </w:r>
          </w:p>
        </w:tc>
        <w:tc>
          <w:tcPr>
            <w:tcW w:w="2926" w:type="dxa"/>
          </w:tcPr>
          <w:p w14:paraId="2352F455" w14:textId="674AE0CE"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9.0%–19.8%</w:t>
            </w:r>
          </w:p>
        </w:tc>
      </w:tr>
      <w:tr w:rsidR="005163A5" w:rsidRPr="0085055B" w14:paraId="6394F965" w14:textId="77777777" w:rsidTr="00185A45">
        <w:tc>
          <w:tcPr>
            <w:tcW w:w="2926" w:type="dxa"/>
          </w:tcPr>
          <w:p w14:paraId="451780DD"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Adjusted EBITDA</w:t>
            </w:r>
          </w:p>
        </w:tc>
        <w:tc>
          <w:tcPr>
            <w:tcW w:w="2926" w:type="dxa"/>
          </w:tcPr>
          <w:p w14:paraId="31B76817" w14:textId="7DDF08CD"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3,300–3,800</w:t>
            </w:r>
          </w:p>
        </w:tc>
        <w:tc>
          <w:tcPr>
            <w:tcW w:w="2926" w:type="dxa"/>
          </w:tcPr>
          <w:p w14:paraId="642110F8" w14:textId="6B21ACD1"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8.3%–24.7%</w:t>
            </w:r>
          </w:p>
        </w:tc>
      </w:tr>
      <w:tr w:rsidR="005163A5" w:rsidRPr="0085055B" w14:paraId="1D9F2252" w14:textId="77777777" w:rsidTr="00185A45">
        <w:tc>
          <w:tcPr>
            <w:tcW w:w="2926" w:type="dxa"/>
          </w:tcPr>
          <w:p w14:paraId="653088D5" w14:textId="77777777" w:rsidR="005163A5" w:rsidRPr="0085055B" w:rsidRDefault="005163A5" w:rsidP="00185A45">
            <w:pPr>
              <w:spacing w:before="120" w:after="0"/>
              <w:jc w:val="left"/>
              <w:rPr>
                <w:rFonts w:eastAsiaTheme="minorHAnsi" w:cs="Calibri"/>
                <w:b/>
                <w:bCs/>
                <w:sz w:val="16"/>
                <w:szCs w:val="16"/>
                <w:lang w:val="en-US"/>
              </w:rPr>
            </w:pPr>
            <w:r w:rsidRPr="0085055B">
              <w:rPr>
                <w:rFonts w:eastAsiaTheme="minorHAnsi" w:cs="Calibri"/>
                <w:b/>
                <w:bCs/>
                <w:sz w:val="16"/>
                <w:szCs w:val="16"/>
                <w:lang w:val="en-US"/>
              </w:rPr>
              <w:t>Colt CZ Group with expected contribution of Sellier &amp; Bellot</w:t>
            </w:r>
          </w:p>
        </w:tc>
        <w:tc>
          <w:tcPr>
            <w:tcW w:w="2926" w:type="dxa"/>
          </w:tcPr>
          <w:p w14:paraId="11FE37DC" w14:textId="77777777" w:rsidR="005163A5" w:rsidRPr="0085055B" w:rsidRDefault="005163A5" w:rsidP="00185A45">
            <w:pPr>
              <w:spacing w:before="120" w:after="0"/>
              <w:rPr>
                <w:rFonts w:eastAsiaTheme="minorHAnsi" w:cs="Calibri"/>
                <w:sz w:val="16"/>
                <w:szCs w:val="16"/>
                <w:lang w:val="en-US"/>
              </w:rPr>
            </w:pPr>
          </w:p>
        </w:tc>
        <w:tc>
          <w:tcPr>
            <w:tcW w:w="2926" w:type="dxa"/>
          </w:tcPr>
          <w:p w14:paraId="60B1BCA6" w14:textId="77777777" w:rsidR="005163A5" w:rsidRPr="0085055B" w:rsidRDefault="005163A5" w:rsidP="00185A45">
            <w:pPr>
              <w:spacing w:before="120" w:after="0"/>
              <w:jc w:val="right"/>
              <w:rPr>
                <w:rFonts w:eastAsiaTheme="minorHAnsi" w:cs="Calibri"/>
                <w:sz w:val="16"/>
                <w:szCs w:val="16"/>
                <w:lang w:val="en-US"/>
              </w:rPr>
            </w:pPr>
          </w:p>
        </w:tc>
      </w:tr>
      <w:tr w:rsidR="005163A5" w:rsidRPr="0085055B" w14:paraId="56006884" w14:textId="77777777" w:rsidTr="00185A45">
        <w:tc>
          <w:tcPr>
            <w:tcW w:w="2926" w:type="dxa"/>
          </w:tcPr>
          <w:p w14:paraId="7CF45A7C"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Revenues</w:t>
            </w:r>
          </w:p>
        </w:tc>
        <w:tc>
          <w:tcPr>
            <w:tcW w:w="2926" w:type="dxa"/>
          </w:tcPr>
          <w:p w14:paraId="454037D0" w14:textId="5BB25A82"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20,000–22,000</w:t>
            </w:r>
          </w:p>
        </w:tc>
        <w:tc>
          <w:tcPr>
            <w:tcW w:w="2926" w:type="dxa"/>
          </w:tcPr>
          <w:p w14:paraId="4BAA0EA3" w14:textId="189592EC"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34.6%–48.1%</w:t>
            </w:r>
          </w:p>
        </w:tc>
      </w:tr>
      <w:tr w:rsidR="005163A5" w:rsidRPr="0085055B" w14:paraId="6AF1A095" w14:textId="77777777" w:rsidTr="00185A45">
        <w:tc>
          <w:tcPr>
            <w:tcW w:w="2926" w:type="dxa"/>
          </w:tcPr>
          <w:p w14:paraId="68B67FF8"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Adjusted EBITDA</w:t>
            </w:r>
          </w:p>
        </w:tc>
        <w:tc>
          <w:tcPr>
            <w:tcW w:w="2926" w:type="dxa"/>
          </w:tcPr>
          <w:p w14:paraId="3C583C23" w14:textId="47674B7C"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4,300–4,700</w:t>
            </w:r>
          </w:p>
        </w:tc>
        <w:tc>
          <w:tcPr>
            <w:tcW w:w="2926" w:type="dxa"/>
          </w:tcPr>
          <w:p w14:paraId="2007EBE6" w14:textId="696EF7BA"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41.1%–54.2%</w:t>
            </w:r>
          </w:p>
        </w:tc>
      </w:tr>
      <w:tr w:rsidR="005163A5" w:rsidRPr="0085055B" w14:paraId="5C72DB56" w14:textId="77777777" w:rsidTr="00185A45">
        <w:tc>
          <w:tcPr>
            <w:tcW w:w="2926" w:type="dxa"/>
          </w:tcPr>
          <w:p w14:paraId="52AA5FA6" w14:textId="77777777" w:rsidR="005163A5" w:rsidRPr="0085055B" w:rsidRDefault="005163A5" w:rsidP="00185A45">
            <w:pPr>
              <w:spacing w:before="120" w:after="0"/>
              <w:jc w:val="left"/>
              <w:rPr>
                <w:rFonts w:eastAsiaTheme="minorHAnsi" w:cs="Calibri"/>
                <w:b/>
                <w:bCs/>
                <w:sz w:val="16"/>
                <w:szCs w:val="16"/>
                <w:lang w:val="en-US"/>
              </w:rPr>
            </w:pPr>
            <w:r w:rsidRPr="0085055B">
              <w:rPr>
                <w:rFonts w:eastAsiaTheme="minorHAnsi" w:cs="Calibri"/>
                <w:b/>
                <w:bCs/>
                <w:sz w:val="16"/>
                <w:szCs w:val="16"/>
                <w:lang w:val="en-US"/>
              </w:rPr>
              <w:t>Colt CZ Group with Sellier &amp; Bellot pro-forma FY 2024</w:t>
            </w:r>
          </w:p>
        </w:tc>
        <w:tc>
          <w:tcPr>
            <w:tcW w:w="2926" w:type="dxa"/>
          </w:tcPr>
          <w:p w14:paraId="6D245651" w14:textId="77777777" w:rsidR="005163A5" w:rsidRPr="0085055B" w:rsidRDefault="005163A5" w:rsidP="00185A45">
            <w:pPr>
              <w:spacing w:before="120" w:after="0"/>
              <w:rPr>
                <w:rFonts w:eastAsiaTheme="minorHAnsi" w:cs="Calibri"/>
                <w:sz w:val="16"/>
                <w:szCs w:val="16"/>
                <w:lang w:val="en-US"/>
              </w:rPr>
            </w:pPr>
          </w:p>
        </w:tc>
        <w:tc>
          <w:tcPr>
            <w:tcW w:w="2926" w:type="dxa"/>
          </w:tcPr>
          <w:p w14:paraId="26105AA9" w14:textId="77777777" w:rsidR="005163A5" w:rsidRPr="0085055B" w:rsidRDefault="005163A5" w:rsidP="00185A45">
            <w:pPr>
              <w:spacing w:before="120" w:after="0"/>
              <w:jc w:val="right"/>
              <w:rPr>
                <w:rFonts w:eastAsiaTheme="minorHAnsi" w:cs="Calibri"/>
                <w:sz w:val="16"/>
                <w:szCs w:val="16"/>
                <w:lang w:val="en-US"/>
              </w:rPr>
            </w:pPr>
          </w:p>
        </w:tc>
      </w:tr>
      <w:tr w:rsidR="005163A5" w:rsidRPr="0085055B" w14:paraId="1EC1F37F" w14:textId="77777777" w:rsidTr="00185A45">
        <w:tc>
          <w:tcPr>
            <w:tcW w:w="2926" w:type="dxa"/>
          </w:tcPr>
          <w:p w14:paraId="3D555932"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Revenues</w:t>
            </w:r>
          </w:p>
        </w:tc>
        <w:tc>
          <w:tcPr>
            <w:tcW w:w="2926" w:type="dxa"/>
          </w:tcPr>
          <w:p w14:paraId="0E4B9CAC" w14:textId="04FAADBD"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23,000–25,000</w:t>
            </w:r>
          </w:p>
        </w:tc>
        <w:tc>
          <w:tcPr>
            <w:tcW w:w="2926" w:type="dxa"/>
          </w:tcPr>
          <w:p w14:paraId="05C62D3B" w14:textId="1D81F23A"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54.8%–68.3%</w:t>
            </w:r>
          </w:p>
        </w:tc>
      </w:tr>
      <w:tr w:rsidR="005163A5" w:rsidRPr="0085055B" w14:paraId="6BA11BAB" w14:textId="77777777" w:rsidTr="00185A45">
        <w:tc>
          <w:tcPr>
            <w:tcW w:w="2926" w:type="dxa"/>
          </w:tcPr>
          <w:p w14:paraId="11A7186B" w14:textId="77777777"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Adjusted EBITDA</w:t>
            </w:r>
          </w:p>
        </w:tc>
        <w:tc>
          <w:tcPr>
            <w:tcW w:w="2926" w:type="dxa"/>
          </w:tcPr>
          <w:p w14:paraId="52608D13" w14:textId="478FC11C"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5,200–5,600</w:t>
            </w:r>
          </w:p>
        </w:tc>
        <w:tc>
          <w:tcPr>
            <w:tcW w:w="2926" w:type="dxa"/>
          </w:tcPr>
          <w:p w14:paraId="5D10E153" w14:textId="47459691" w:rsidR="005163A5" w:rsidRPr="0085055B" w:rsidRDefault="005163A5" w:rsidP="00185A45">
            <w:pPr>
              <w:spacing w:before="120" w:after="0"/>
              <w:jc w:val="right"/>
              <w:rPr>
                <w:rFonts w:eastAsiaTheme="minorHAnsi" w:cs="Calibri"/>
                <w:sz w:val="16"/>
                <w:szCs w:val="16"/>
                <w:lang w:val="en-US"/>
              </w:rPr>
            </w:pPr>
            <w:r w:rsidRPr="0085055B">
              <w:rPr>
                <w:rFonts w:eastAsiaTheme="minorHAnsi" w:cs="Calibri"/>
                <w:sz w:val="16"/>
                <w:szCs w:val="16"/>
                <w:lang w:val="en-US"/>
              </w:rPr>
              <w:t>70.6%–83.7%</w:t>
            </w:r>
          </w:p>
        </w:tc>
      </w:tr>
    </w:tbl>
    <w:p w14:paraId="0E0D9933" w14:textId="55E13C74" w:rsidR="005163A5" w:rsidRPr="0085055B" w:rsidRDefault="005163A5" w:rsidP="00F73D6B">
      <w:pPr>
        <w:spacing w:before="240" w:line="276" w:lineRule="auto"/>
        <w:rPr>
          <w:rFonts w:cs="Calibri"/>
          <w:color w:val="000000" w:themeColor="text1"/>
          <w:szCs w:val="20"/>
          <w:shd w:val="clear" w:color="auto" w:fill="FFFFFF"/>
          <w:lang w:val="en-US"/>
        </w:rPr>
      </w:pPr>
      <w:r w:rsidRPr="0085055B">
        <w:rPr>
          <w:rFonts w:cs="Calibri"/>
          <w:color w:val="000000" w:themeColor="text1"/>
          <w:szCs w:val="20"/>
          <w:shd w:val="clear" w:color="auto" w:fill="FFFFFF"/>
          <w:lang w:val="en-US"/>
        </w:rPr>
        <w:t>The capital expenditures of the Group in 2024 could reach CZK 1–1.2 billion, which corresponds to a roughly 5% share of the 2024 expected revenues and which is in line with the medium-term target of the Company.</w:t>
      </w:r>
    </w:p>
    <w:p w14:paraId="5F4A5A30" w14:textId="47BD50B4" w:rsidR="00BD3D9F" w:rsidRPr="0085055B" w:rsidRDefault="005163A5" w:rsidP="00F73D6B">
      <w:pPr>
        <w:spacing w:before="240" w:line="276" w:lineRule="auto"/>
        <w:rPr>
          <w:rFonts w:eastAsiaTheme="minorHAnsi" w:cs="Calibri"/>
          <w:b/>
          <w:bCs/>
          <w:szCs w:val="20"/>
          <w:lang w:val="en-US"/>
        </w:rPr>
      </w:pPr>
      <w:r w:rsidRPr="0085055B">
        <w:rPr>
          <w:rFonts w:eastAsiaTheme="minorHAnsi" w:cs="Calibri"/>
          <w:b/>
          <w:bCs/>
          <w:szCs w:val="20"/>
          <w:lang w:val="en-US"/>
        </w:rPr>
        <w:t>Acquisition of Sellier &amp; Bellot completed on May 16, 2024</w:t>
      </w:r>
    </w:p>
    <w:p w14:paraId="28460D91" w14:textId="709A913F" w:rsidR="005163A5" w:rsidRPr="0085055B" w:rsidRDefault="005163A5" w:rsidP="005163A5">
      <w:pPr>
        <w:autoSpaceDE w:val="0"/>
        <w:autoSpaceDN w:val="0"/>
        <w:adjustRightInd w:val="0"/>
        <w:spacing w:before="120" w:line="276" w:lineRule="auto"/>
        <w:rPr>
          <w:rFonts w:cs="Calibri"/>
          <w:color w:val="000000" w:themeColor="text1"/>
          <w:szCs w:val="20"/>
          <w:lang w:val="en-US"/>
        </w:rPr>
      </w:pPr>
      <w:r w:rsidRPr="0085055B">
        <w:rPr>
          <w:rFonts w:cs="Calibri"/>
          <w:color w:val="000000" w:themeColor="text1"/>
          <w:szCs w:val="20"/>
          <w:lang w:val="en-US"/>
        </w:rPr>
        <w:t xml:space="preserve">Colt CZ acquired 100% of shares of Sellier &amp; Bellot for the combination of the cash consideration in the amount of </w:t>
      </w:r>
      <w:r w:rsidR="005F438E" w:rsidRPr="0085055B">
        <w:rPr>
          <w:rFonts w:cs="Calibri"/>
          <w:color w:val="000000" w:themeColor="text1"/>
          <w:szCs w:val="20"/>
          <w:lang w:val="en-US"/>
        </w:rPr>
        <w:t xml:space="preserve">USD </w:t>
      </w:r>
      <w:r w:rsidRPr="0085055B">
        <w:rPr>
          <w:rFonts w:cs="Calibri"/>
          <w:color w:val="000000" w:themeColor="text1"/>
          <w:szCs w:val="20"/>
          <w:lang w:val="en-US"/>
        </w:rPr>
        <w:t xml:space="preserve">350 million and a new issue of </w:t>
      </w:r>
      <w:r w:rsidRPr="0085055B">
        <w:rPr>
          <w:lang w:val="en-US"/>
        </w:rPr>
        <w:t xml:space="preserve">13,476,440 of </w:t>
      </w:r>
      <w:r w:rsidRPr="0085055B">
        <w:rPr>
          <w:rFonts w:cs="Calibri"/>
          <w:color w:val="000000" w:themeColor="text1"/>
          <w:szCs w:val="20"/>
          <w:lang w:val="en-US"/>
        </w:rPr>
        <w:t xml:space="preserve">Colt CZ common shares. Total acquisition price equals to </w:t>
      </w:r>
      <w:r w:rsidR="005F438E" w:rsidRPr="0085055B">
        <w:rPr>
          <w:rFonts w:cs="Calibri"/>
          <w:color w:val="000000" w:themeColor="text1"/>
          <w:szCs w:val="20"/>
          <w:lang w:val="en-US"/>
        </w:rPr>
        <w:t xml:space="preserve">USD </w:t>
      </w:r>
      <w:r w:rsidRPr="0085055B">
        <w:rPr>
          <w:rFonts w:cs="Calibri"/>
          <w:color w:val="000000" w:themeColor="text1"/>
          <w:szCs w:val="20"/>
          <w:lang w:val="en-US"/>
        </w:rPr>
        <w:t xml:space="preserve">703 million in total, excluding net debt of Sellier &amp; Bellot. </w:t>
      </w:r>
    </w:p>
    <w:p w14:paraId="22832AE6" w14:textId="74C3019D" w:rsidR="005163A5" w:rsidRPr="0085055B" w:rsidRDefault="005163A5" w:rsidP="005163A5">
      <w:pPr>
        <w:autoSpaceDE w:val="0"/>
        <w:autoSpaceDN w:val="0"/>
        <w:adjustRightInd w:val="0"/>
        <w:spacing w:before="120" w:line="276" w:lineRule="auto"/>
        <w:rPr>
          <w:rFonts w:cs="Calibri"/>
          <w:color w:val="000000" w:themeColor="text1"/>
          <w:szCs w:val="20"/>
          <w:lang w:val="en-US"/>
        </w:rPr>
      </w:pPr>
      <w:r w:rsidRPr="0085055B">
        <w:rPr>
          <w:rFonts w:cs="Calibri"/>
          <w:color w:val="000000" w:themeColor="text1"/>
          <w:szCs w:val="20"/>
          <w:lang w:val="en-US"/>
        </w:rPr>
        <w:t>The selling company CBC Europe S.à r.l. therefore gained a 27.7% stake in the share capital of Colt CZ Group. New shares were issued on May 16, 2024, and Sellier &amp; Bellot enter</w:t>
      </w:r>
      <w:r w:rsidR="00606779" w:rsidRPr="0085055B">
        <w:rPr>
          <w:rFonts w:cs="Calibri"/>
          <w:color w:val="000000" w:themeColor="text1"/>
          <w:szCs w:val="20"/>
          <w:lang w:val="en-US"/>
        </w:rPr>
        <w:t>s</w:t>
      </w:r>
      <w:r w:rsidRPr="0085055B">
        <w:rPr>
          <w:rFonts w:cs="Calibri"/>
          <w:color w:val="000000" w:themeColor="text1"/>
          <w:szCs w:val="20"/>
          <w:lang w:val="en-US"/>
        </w:rPr>
        <w:t xml:space="preserve"> in the Group</w:t>
      </w:r>
      <w:r w:rsidRPr="0085055B">
        <w:rPr>
          <w:rFonts w:cs="Calibri"/>
          <w:color w:val="000000" w:themeColor="text1"/>
          <w:szCs w:val="20"/>
          <w:shd w:val="clear" w:color="auto" w:fill="FFFFFF"/>
          <w:lang w:val="en-US"/>
        </w:rPr>
        <w:t>'</w:t>
      </w:r>
      <w:r w:rsidRPr="0085055B">
        <w:rPr>
          <w:rFonts w:cs="Calibri"/>
          <w:color w:val="000000" w:themeColor="text1"/>
          <w:szCs w:val="20"/>
          <w:lang w:val="en-US"/>
        </w:rPr>
        <w:t>s consolidation also as of May 16, 2024.</w:t>
      </w:r>
    </w:p>
    <w:p w14:paraId="51024443" w14:textId="77777777" w:rsidR="00193EE8" w:rsidRPr="0085055B" w:rsidRDefault="00193EE8" w:rsidP="00193EE8">
      <w:pPr>
        <w:autoSpaceDE w:val="0"/>
        <w:autoSpaceDN w:val="0"/>
        <w:adjustRightInd w:val="0"/>
        <w:spacing w:before="120" w:line="276" w:lineRule="auto"/>
        <w:rPr>
          <w:rFonts w:cs="Calibri"/>
          <w:b/>
          <w:bCs/>
          <w:color w:val="000000" w:themeColor="text1"/>
          <w:szCs w:val="20"/>
          <w:lang w:val="en-US"/>
        </w:rPr>
      </w:pPr>
      <w:r w:rsidRPr="0085055B">
        <w:rPr>
          <w:rFonts w:cs="Calibri"/>
          <w:b/>
          <w:bCs/>
          <w:color w:val="000000" w:themeColor="text1"/>
          <w:szCs w:val="20"/>
          <w:lang w:val="en-US"/>
        </w:rPr>
        <w:t>Proposed Dividend Payment</w:t>
      </w:r>
    </w:p>
    <w:p w14:paraId="1F72DA5F" w14:textId="499A398C" w:rsidR="00606779" w:rsidRPr="0085055B" w:rsidRDefault="00193EE8" w:rsidP="00193EE8">
      <w:pPr>
        <w:autoSpaceDE w:val="0"/>
        <w:autoSpaceDN w:val="0"/>
        <w:adjustRightInd w:val="0"/>
        <w:spacing w:before="120" w:line="276" w:lineRule="auto"/>
        <w:rPr>
          <w:rFonts w:cs="Calibri"/>
          <w:color w:val="000000" w:themeColor="text1"/>
          <w:szCs w:val="20"/>
          <w:lang w:val="en-US"/>
        </w:rPr>
      </w:pPr>
      <w:r w:rsidRPr="0085055B">
        <w:rPr>
          <w:rFonts w:cs="Calibri"/>
          <w:color w:val="000000" w:themeColor="text1"/>
          <w:szCs w:val="20"/>
          <w:lang w:val="en-US"/>
        </w:rPr>
        <w:t>The Company will propose a dividend payment of CZK 30 per share from its net profit for 2023. Same as last year, shareholders will be able to choose between a cash dividend and stock dividend, based on their discretion. The dividend payout is subject to the approval by the General Meeting which will be held by the end of the first half of 2024. Further information concerning the timetable of the dividend distribution will be before the General Meeting convention.</w:t>
      </w:r>
    </w:p>
    <w:p w14:paraId="3C071829" w14:textId="6763411A" w:rsidR="00101C11" w:rsidRPr="0085055B" w:rsidRDefault="000D28BD" w:rsidP="00101C11">
      <w:pPr>
        <w:rPr>
          <w:szCs w:val="20"/>
          <w:lang w:val="en-US"/>
        </w:rPr>
      </w:pPr>
      <w:r w:rsidRPr="0085055B">
        <w:rPr>
          <w:b/>
          <w:bCs/>
          <w:szCs w:val="20"/>
          <w:lang w:val="en-US"/>
        </w:rPr>
        <w:t>About</w:t>
      </w:r>
      <w:r w:rsidR="00101C11" w:rsidRPr="0085055B">
        <w:rPr>
          <w:b/>
          <w:bCs/>
          <w:szCs w:val="20"/>
          <w:lang w:val="en-US"/>
        </w:rPr>
        <w:t xml:space="preserve"> Colt CZ Group SE</w:t>
      </w:r>
      <w:r w:rsidR="00101C11" w:rsidRPr="0085055B">
        <w:rPr>
          <w:szCs w:val="20"/>
          <w:lang w:val="en-US"/>
        </w:rPr>
        <w:t> </w:t>
      </w:r>
    </w:p>
    <w:p w14:paraId="556F1F26" w14:textId="77777777" w:rsidR="004C4460" w:rsidRPr="0085055B" w:rsidRDefault="004C4460" w:rsidP="004C4460">
      <w:pPr>
        <w:rPr>
          <w:lang w:val="en-US"/>
        </w:rPr>
      </w:pPr>
      <w:r w:rsidRPr="0085055B">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Sellier &amp; Bellot, Spuhr, swissAA and 4M Systems brands.</w:t>
      </w:r>
    </w:p>
    <w:p w14:paraId="230AC7E7" w14:textId="77777777" w:rsidR="004C4460" w:rsidRPr="0085055B" w:rsidRDefault="004C4460" w:rsidP="004C4460">
      <w:pPr>
        <w:rPr>
          <w:rFonts w:cs="Calibri"/>
          <w:i/>
          <w:iCs/>
          <w:color w:val="000000" w:themeColor="text1"/>
          <w:sz w:val="22"/>
          <w:szCs w:val="22"/>
          <w:lang w:val="en-US"/>
        </w:rPr>
      </w:pPr>
      <w:r w:rsidRPr="0085055B">
        <w:rPr>
          <w:lang w:val="en-US"/>
        </w:rPr>
        <w:t xml:space="preserve">Colt CZ Group is headquartered in the Czech Republic and employs more than 3,600 people in its production facilities in the Czech Republic, the United States, Canada, Sweden, </w:t>
      </w:r>
      <w:r w:rsidRPr="0085055B">
        <w:rPr>
          <w:lang w:val="en-US"/>
        </w:rPr>
        <w:lastRenderedPageBreak/>
        <w:t>Switzerland, and Hungary. Colt CZ is owned by Česká zbrojovka Partners SE from 54.5%, CBC Europe S.à r.l. from 27.7% and the remaining 17.8% being a free float.</w:t>
      </w:r>
    </w:p>
    <w:p w14:paraId="0ED7E047" w14:textId="2FCACBD6" w:rsidR="00F22C2B" w:rsidRPr="0085055B" w:rsidRDefault="00F22C2B" w:rsidP="00BD3D9F">
      <w:pPr>
        <w:rPr>
          <w:rFonts w:cs="Calibri"/>
          <w:i/>
          <w:iCs/>
          <w:color w:val="000000" w:themeColor="text1"/>
          <w:sz w:val="22"/>
          <w:szCs w:val="22"/>
          <w:lang w:val="en-US"/>
        </w:rPr>
      </w:pPr>
    </w:p>
    <w:p w14:paraId="0AEEF7C5" w14:textId="77777777" w:rsidR="007D5CA4" w:rsidRDefault="007D5CA4" w:rsidP="007D5CA4">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Contact for investors</w:t>
      </w:r>
      <w:r>
        <w:rPr>
          <w:rFonts w:cs="Calibri"/>
          <w:b/>
          <w:bCs/>
          <w:color w:val="000000" w:themeColor="text1"/>
          <w:szCs w:val="20"/>
          <w:lang w:val="en-US"/>
        </w:rPr>
        <w:tab/>
      </w:r>
    </w:p>
    <w:p w14:paraId="0CA3F04D" w14:textId="77777777" w:rsidR="007D5CA4" w:rsidRDefault="007D5CA4" w:rsidP="007D5CA4">
      <w:pPr>
        <w:spacing w:before="0" w:after="0"/>
        <w:rPr>
          <w:rFonts w:cs="Calibri"/>
          <w:b/>
          <w:bCs/>
          <w:color w:val="000000" w:themeColor="text1"/>
          <w:szCs w:val="20"/>
          <w:lang w:val="en-US"/>
        </w:rPr>
      </w:pPr>
    </w:p>
    <w:p w14:paraId="08466223" w14:textId="77777777"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Klára Šípová</w:t>
      </w:r>
    </w:p>
    <w:p w14:paraId="0F2F99FB" w14:textId="77777777" w:rsidR="007D5CA4" w:rsidRDefault="007D5CA4" w:rsidP="007D5CA4">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3032EDAE" w14:textId="77777777"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2CD4E83B" w14:textId="77777777" w:rsidR="007D5CA4" w:rsidRDefault="007D5CA4" w:rsidP="007D5CA4">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7EDDE5DD" w14:textId="77777777" w:rsidR="007D5CA4" w:rsidRPr="003A25BD" w:rsidRDefault="007D5CA4" w:rsidP="007D5CA4">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A8BD6DB" w14:textId="0633C3E6" w:rsidR="00BD3D9F" w:rsidRPr="0085055B" w:rsidRDefault="00BD3D9F" w:rsidP="00D876DD">
      <w:pPr>
        <w:spacing w:before="0" w:after="0" w:line="276" w:lineRule="auto"/>
        <w:jc w:val="left"/>
        <w:rPr>
          <w:rFonts w:cs="Calibri"/>
          <w:color w:val="000000" w:themeColor="text1"/>
          <w:szCs w:val="20"/>
          <w:lang w:val="en-US"/>
        </w:rPr>
      </w:pPr>
      <w:r w:rsidRPr="0085055B">
        <w:rPr>
          <w:rFonts w:cs="Calibri"/>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p>
    <w:sectPr w:rsidR="00BD3D9F" w:rsidRPr="0085055B" w:rsidSect="00080F1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5D5A4" w14:textId="77777777" w:rsidR="00080F10" w:rsidRDefault="00080F10" w:rsidP="006547EF">
      <w:pPr>
        <w:spacing w:before="0" w:after="0"/>
      </w:pPr>
      <w:r>
        <w:separator/>
      </w:r>
    </w:p>
  </w:endnote>
  <w:endnote w:type="continuationSeparator" w:id="0">
    <w:p w14:paraId="525AF914" w14:textId="77777777" w:rsidR="00080F10" w:rsidRDefault="00080F10"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CA3E1A38-DE21-4370-8D8A-BEC9FC783BF2}"/>
    <w:embedBold r:id="rId2" w:fontKey="{FC6D8A03-4876-4DB3-A3C2-405445D2BC23}"/>
    <w:embedItalic r:id="rId3" w:fontKey="{EEC568DA-2B15-4013-BC9D-04F70D22425D}"/>
    <w:embedBoldItalic r:id="rId4" w:fontKey="{856A7A8B-838D-4558-A5C9-46F5454D4482}"/>
  </w:font>
  <w:font w:name="Montserrat Light">
    <w:charset w:val="EE"/>
    <w:family w:val="auto"/>
    <w:pitch w:val="variable"/>
    <w:sig w:usb0="2000020F" w:usb1="00000003" w:usb2="00000000" w:usb3="00000000" w:csb0="00000197" w:csb1="00000000"/>
    <w:embedRegular r:id="rId5" w:fontKey="{B3005C6A-1CC6-4E7A-8206-3F33F4AC5409}"/>
  </w:font>
  <w:font w:name="Calibri Light">
    <w:panose1 w:val="020F0302020204030204"/>
    <w:charset w:val="EE"/>
    <w:family w:val="swiss"/>
    <w:pitch w:val="variable"/>
    <w:sig w:usb0="E4002EFF" w:usb1="C200247B" w:usb2="00000009" w:usb3="00000000" w:csb0="000001FF" w:csb1="00000000"/>
    <w:embedRegular r:id="rId6" w:fontKey="{775CA59A-73F5-49E2-BFD1-3C618071B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6BD33C26"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B4733"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BD8D6" w14:textId="77777777" w:rsidR="00080F10" w:rsidRDefault="00080F10" w:rsidP="006547EF">
      <w:pPr>
        <w:spacing w:before="0" w:after="0"/>
      </w:pPr>
      <w:r>
        <w:separator/>
      </w:r>
    </w:p>
  </w:footnote>
  <w:footnote w:type="continuationSeparator" w:id="0">
    <w:p w14:paraId="53E0B548" w14:textId="77777777" w:rsidR="00080F10" w:rsidRDefault="00080F10" w:rsidP="006547EF">
      <w:pPr>
        <w:spacing w:before="0" w:after="0"/>
      </w:pPr>
      <w:r>
        <w:continuationSeparator/>
      </w:r>
    </w:p>
  </w:footnote>
  <w:footnote w:id="1">
    <w:p w14:paraId="5A8C7A98" w14:textId="5C9F76D2" w:rsidR="004C4460" w:rsidRPr="000D0661" w:rsidRDefault="004C4460" w:rsidP="004C4460">
      <w:pPr>
        <w:pStyle w:val="Textpoznpodarou"/>
        <w:rPr>
          <w:rFonts w:ascii="Calibri" w:hAnsi="Calibri" w:cs="Calibri"/>
          <w:lang w:val="en-US"/>
        </w:rPr>
      </w:pPr>
      <w:r>
        <w:rPr>
          <w:rStyle w:val="Znakapoznpodarou"/>
        </w:rPr>
        <w:footnoteRef/>
      </w:r>
      <w:r>
        <w:t xml:space="preserve"> </w:t>
      </w:r>
      <w:r>
        <w:rPr>
          <w:sz w:val="14"/>
          <w:szCs w:val="14"/>
          <w:lang w:val="en-US"/>
        </w:rPr>
        <w:t xml:space="preserve">In the first quarter of 2024 and 2023, EBITDA was adjusted by one-off items related to unrealized acquisitions and payments related to the employee stock option plan which are not related to operational performance and value creation in the given period. </w:t>
      </w:r>
    </w:p>
    <w:p w14:paraId="0311EBC0" w14:textId="5A481021" w:rsidR="004C4460" w:rsidRDefault="004C4460">
      <w:pPr>
        <w:pStyle w:val="Textpoznpodarou"/>
      </w:pPr>
    </w:p>
  </w:footnote>
  <w:footnote w:id="2">
    <w:p w14:paraId="61BE8ABD" w14:textId="740B3425" w:rsidR="00BD3D9F" w:rsidRPr="000D0661" w:rsidRDefault="00BD3D9F" w:rsidP="00BD3D9F">
      <w:pPr>
        <w:pStyle w:val="Textpoznpodarou"/>
        <w:rPr>
          <w:rFonts w:ascii="Calibri" w:hAnsi="Calibri" w:cs="Calibri"/>
          <w:lang w:val="en-US"/>
        </w:rPr>
      </w:pPr>
      <w:r w:rsidRPr="000D0661">
        <w:rPr>
          <w:rStyle w:val="Znakapoznpodarou"/>
          <w:rFonts w:cs="Calibri"/>
          <w:sz w:val="14"/>
          <w:szCs w:val="14"/>
          <w:lang w:val="en-US"/>
        </w:rPr>
        <w:footnoteRef/>
      </w:r>
      <w:r w:rsidRPr="000D0661">
        <w:rPr>
          <w:rFonts w:cs="Calibri"/>
          <w:sz w:val="14"/>
          <w:szCs w:val="14"/>
          <w:lang w:val="en-US"/>
        </w:rPr>
        <w:t xml:space="preserve"> </w:t>
      </w:r>
      <w:r w:rsidR="00AD3106">
        <w:rPr>
          <w:sz w:val="14"/>
          <w:szCs w:val="14"/>
          <w:lang w:val="en-US"/>
        </w:rPr>
        <w:t xml:space="preserve">In the first quarter of 2024, EBITDA was adjusted by one-off items related to unrealized acquisitions and payments related to the employee stock option plan which are not related to operational performance and value creation in the given period. </w:t>
      </w:r>
      <w:r w:rsidR="00A140A3">
        <w:rPr>
          <w:sz w:val="14"/>
          <w:szCs w:val="14"/>
          <w:lang w:val="en-US"/>
        </w:rPr>
        <w:t xml:space="preserve">In the first quarter of 2023, EBITDA was adjusted by one-off items related to unrealized acquisitions and payments related to the employee stock option plan which are not related to operational performance and value creation in the given period. </w:t>
      </w:r>
    </w:p>
  </w:footnote>
  <w:footnote w:id="3">
    <w:p w14:paraId="21483C47" w14:textId="2E8E638F" w:rsidR="0066170E" w:rsidRDefault="0066170E">
      <w:pPr>
        <w:pStyle w:val="Textpoznpodarou"/>
      </w:pPr>
      <w:r>
        <w:rPr>
          <w:rStyle w:val="Znakapoznpodarou"/>
        </w:rPr>
        <w:footnoteRef/>
      </w:r>
      <w:r>
        <w:t xml:space="preserve"> </w:t>
      </w:r>
      <w:r w:rsidRPr="00C30947">
        <w:rPr>
          <w:sz w:val="14"/>
          <w:szCs w:val="14"/>
        </w:rPr>
        <w:t xml:space="preserve">In </w:t>
      </w:r>
      <w:r>
        <w:rPr>
          <w:sz w:val="14"/>
          <w:szCs w:val="14"/>
        </w:rPr>
        <w:t>Q1 202</w:t>
      </w:r>
      <w:r w:rsidR="00AD3106">
        <w:rPr>
          <w:sz w:val="14"/>
          <w:szCs w:val="14"/>
        </w:rPr>
        <w:t>4</w:t>
      </w:r>
      <w:r>
        <w:rPr>
          <w:sz w:val="14"/>
          <w:szCs w:val="14"/>
        </w:rPr>
        <w:t xml:space="preserve">, net profit was adjusted by </w:t>
      </w:r>
      <w:r>
        <w:rPr>
          <w:sz w:val="14"/>
          <w:szCs w:val="14"/>
          <w:lang w:val="en-US"/>
        </w:rPr>
        <w:t xml:space="preserve">one-off items related to unrealized acquisitions and payments related to the employee stock option plan, which are not related to operational performance and value creation in the given period. </w:t>
      </w:r>
      <w:r w:rsidR="00AD3106" w:rsidRPr="00C30947">
        <w:rPr>
          <w:sz w:val="14"/>
          <w:szCs w:val="14"/>
        </w:rPr>
        <w:t xml:space="preserve">In </w:t>
      </w:r>
      <w:r w:rsidR="00AD3106">
        <w:rPr>
          <w:sz w:val="14"/>
          <w:szCs w:val="14"/>
        </w:rPr>
        <w:t xml:space="preserve">Q1 2023, net profit was adjusted by </w:t>
      </w:r>
      <w:r w:rsidR="00AD3106">
        <w:rPr>
          <w:sz w:val="14"/>
          <w:szCs w:val="14"/>
          <w:lang w:val="en-US"/>
        </w:rPr>
        <w:t xml:space="preserve">one-off items related to unrealized acquisitions and payments related to the employee stock option plan, </w:t>
      </w:r>
      <w:r w:rsidR="00AD3106" w:rsidRPr="00C30947">
        <w:rPr>
          <w:sz w:val="14"/>
          <w:szCs w:val="14"/>
          <w:lang w:val="en-US"/>
        </w:rPr>
        <w:t>cost of revaluation of equity earnout</w:t>
      </w:r>
      <w:r w:rsidR="00AD3106">
        <w:rPr>
          <w:sz w:val="14"/>
          <w:szCs w:val="14"/>
          <w:lang w:val="en-US"/>
        </w:rPr>
        <w:t xml:space="preserve"> </w:t>
      </w:r>
      <w:r w:rsidR="00AD3106" w:rsidRPr="00C30947">
        <w:rPr>
          <w:sz w:val="14"/>
          <w:szCs w:val="14"/>
          <w:lang w:val="en-US"/>
        </w:rPr>
        <w:t>related to the Colt acquisition</w:t>
      </w:r>
      <w:r w:rsidR="00AD3106">
        <w:rPr>
          <w:sz w:val="14"/>
          <w:szCs w:val="14"/>
          <w:lang w:val="en-US"/>
        </w:rPr>
        <w:t xml:space="preserve"> and by financing cost related to bond issue which are not 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31DCA"/>
    <w:rsid w:val="00032590"/>
    <w:rsid w:val="00040F8D"/>
    <w:rsid w:val="000469CC"/>
    <w:rsid w:val="000579FE"/>
    <w:rsid w:val="0006390A"/>
    <w:rsid w:val="00064D2F"/>
    <w:rsid w:val="00067C03"/>
    <w:rsid w:val="00075BE6"/>
    <w:rsid w:val="00080F10"/>
    <w:rsid w:val="00085158"/>
    <w:rsid w:val="000D0661"/>
    <w:rsid w:val="000D1109"/>
    <w:rsid w:val="000D28BD"/>
    <w:rsid w:val="000D4999"/>
    <w:rsid w:val="000F12DC"/>
    <w:rsid w:val="000F7895"/>
    <w:rsid w:val="00101C11"/>
    <w:rsid w:val="00106FA4"/>
    <w:rsid w:val="0011114F"/>
    <w:rsid w:val="0011598F"/>
    <w:rsid w:val="001207D7"/>
    <w:rsid w:val="001223D1"/>
    <w:rsid w:val="00137361"/>
    <w:rsid w:val="00141ED8"/>
    <w:rsid w:val="00141EFD"/>
    <w:rsid w:val="0014227C"/>
    <w:rsid w:val="001439B2"/>
    <w:rsid w:val="00154F03"/>
    <w:rsid w:val="00166A11"/>
    <w:rsid w:val="00181D60"/>
    <w:rsid w:val="00185223"/>
    <w:rsid w:val="00193EE8"/>
    <w:rsid w:val="001B075A"/>
    <w:rsid w:val="001B0AD0"/>
    <w:rsid w:val="001C3845"/>
    <w:rsid w:val="001C5673"/>
    <w:rsid w:val="001C5CA6"/>
    <w:rsid w:val="001F70F6"/>
    <w:rsid w:val="0020291C"/>
    <w:rsid w:val="002060BF"/>
    <w:rsid w:val="0022636E"/>
    <w:rsid w:val="002338A1"/>
    <w:rsid w:val="0024081D"/>
    <w:rsid w:val="00253DC5"/>
    <w:rsid w:val="00261491"/>
    <w:rsid w:val="00273164"/>
    <w:rsid w:val="002808BD"/>
    <w:rsid w:val="00280934"/>
    <w:rsid w:val="0028551C"/>
    <w:rsid w:val="0029223D"/>
    <w:rsid w:val="00294600"/>
    <w:rsid w:val="002B4FA7"/>
    <w:rsid w:val="002B6B3D"/>
    <w:rsid w:val="002C1BD4"/>
    <w:rsid w:val="002D0D79"/>
    <w:rsid w:val="002D1D6E"/>
    <w:rsid w:val="002E7110"/>
    <w:rsid w:val="002F1333"/>
    <w:rsid w:val="002F1EB7"/>
    <w:rsid w:val="002F6C00"/>
    <w:rsid w:val="002F6D00"/>
    <w:rsid w:val="00305DA3"/>
    <w:rsid w:val="0030624C"/>
    <w:rsid w:val="0032033D"/>
    <w:rsid w:val="00327F29"/>
    <w:rsid w:val="00336577"/>
    <w:rsid w:val="0034239F"/>
    <w:rsid w:val="00344DC2"/>
    <w:rsid w:val="00346CFF"/>
    <w:rsid w:val="00363EE6"/>
    <w:rsid w:val="00364F2B"/>
    <w:rsid w:val="00365414"/>
    <w:rsid w:val="0037428E"/>
    <w:rsid w:val="003761C7"/>
    <w:rsid w:val="003C14A4"/>
    <w:rsid w:val="003C62F5"/>
    <w:rsid w:val="0041654A"/>
    <w:rsid w:val="004261DC"/>
    <w:rsid w:val="0042634E"/>
    <w:rsid w:val="004406BA"/>
    <w:rsid w:val="00446D64"/>
    <w:rsid w:val="00455BC6"/>
    <w:rsid w:val="00460B55"/>
    <w:rsid w:val="00463068"/>
    <w:rsid w:val="004718A8"/>
    <w:rsid w:val="00471995"/>
    <w:rsid w:val="00471E2F"/>
    <w:rsid w:val="00494A2F"/>
    <w:rsid w:val="004B2B5F"/>
    <w:rsid w:val="004B518D"/>
    <w:rsid w:val="004C2966"/>
    <w:rsid w:val="004C4460"/>
    <w:rsid w:val="004C4C38"/>
    <w:rsid w:val="004C5C91"/>
    <w:rsid w:val="004C6FC1"/>
    <w:rsid w:val="004D78F8"/>
    <w:rsid w:val="004E7C09"/>
    <w:rsid w:val="004F064E"/>
    <w:rsid w:val="004F68EC"/>
    <w:rsid w:val="00500F28"/>
    <w:rsid w:val="00513F3A"/>
    <w:rsid w:val="005163A5"/>
    <w:rsid w:val="005166BE"/>
    <w:rsid w:val="00544659"/>
    <w:rsid w:val="0057680B"/>
    <w:rsid w:val="00580143"/>
    <w:rsid w:val="005870A3"/>
    <w:rsid w:val="005877B2"/>
    <w:rsid w:val="0059405D"/>
    <w:rsid w:val="0059427F"/>
    <w:rsid w:val="005A44E1"/>
    <w:rsid w:val="005B2441"/>
    <w:rsid w:val="005C30E4"/>
    <w:rsid w:val="005C4221"/>
    <w:rsid w:val="005C5E6F"/>
    <w:rsid w:val="005D052D"/>
    <w:rsid w:val="005D5074"/>
    <w:rsid w:val="005E6D79"/>
    <w:rsid w:val="005F438E"/>
    <w:rsid w:val="005F55FF"/>
    <w:rsid w:val="006037CD"/>
    <w:rsid w:val="00606779"/>
    <w:rsid w:val="00607036"/>
    <w:rsid w:val="00607363"/>
    <w:rsid w:val="00614DB5"/>
    <w:rsid w:val="00616D6A"/>
    <w:rsid w:val="0061745C"/>
    <w:rsid w:val="00624F2A"/>
    <w:rsid w:val="006503F9"/>
    <w:rsid w:val="006547EF"/>
    <w:rsid w:val="00654F9E"/>
    <w:rsid w:val="006570D5"/>
    <w:rsid w:val="0066162A"/>
    <w:rsid w:val="0066170E"/>
    <w:rsid w:val="00671C35"/>
    <w:rsid w:val="00672181"/>
    <w:rsid w:val="00680931"/>
    <w:rsid w:val="00682C36"/>
    <w:rsid w:val="00691078"/>
    <w:rsid w:val="006C0A2C"/>
    <w:rsid w:val="006C35D2"/>
    <w:rsid w:val="006E7A34"/>
    <w:rsid w:val="006F190F"/>
    <w:rsid w:val="006F46AD"/>
    <w:rsid w:val="006F5A77"/>
    <w:rsid w:val="006F5BA9"/>
    <w:rsid w:val="00702CF1"/>
    <w:rsid w:val="00707179"/>
    <w:rsid w:val="00710332"/>
    <w:rsid w:val="007201A6"/>
    <w:rsid w:val="00721002"/>
    <w:rsid w:val="00732523"/>
    <w:rsid w:val="007329AF"/>
    <w:rsid w:val="00744D82"/>
    <w:rsid w:val="007506E3"/>
    <w:rsid w:val="0076063D"/>
    <w:rsid w:val="0076476C"/>
    <w:rsid w:val="007715E4"/>
    <w:rsid w:val="00773130"/>
    <w:rsid w:val="00782435"/>
    <w:rsid w:val="00795ED0"/>
    <w:rsid w:val="007A0A74"/>
    <w:rsid w:val="007A3121"/>
    <w:rsid w:val="007A5D07"/>
    <w:rsid w:val="007A69DA"/>
    <w:rsid w:val="007B155C"/>
    <w:rsid w:val="007B6BB8"/>
    <w:rsid w:val="007D0463"/>
    <w:rsid w:val="007D0534"/>
    <w:rsid w:val="007D5CA4"/>
    <w:rsid w:val="008215BB"/>
    <w:rsid w:val="00846B9C"/>
    <w:rsid w:val="0085055B"/>
    <w:rsid w:val="0085140F"/>
    <w:rsid w:val="008627DF"/>
    <w:rsid w:val="00866DF8"/>
    <w:rsid w:val="00876CEA"/>
    <w:rsid w:val="00890F40"/>
    <w:rsid w:val="00894C2D"/>
    <w:rsid w:val="008A138E"/>
    <w:rsid w:val="008A5AE6"/>
    <w:rsid w:val="008B54FB"/>
    <w:rsid w:val="008B58FB"/>
    <w:rsid w:val="008C643D"/>
    <w:rsid w:val="008E3B36"/>
    <w:rsid w:val="008F1D19"/>
    <w:rsid w:val="008F385E"/>
    <w:rsid w:val="00934036"/>
    <w:rsid w:val="00946042"/>
    <w:rsid w:val="009520A3"/>
    <w:rsid w:val="009627C4"/>
    <w:rsid w:val="00965283"/>
    <w:rsid w:val="00974591"/>
    <w:rsid w:val="009819F1"/>
    <w:rsid w:val="0098762D"/>
    <w:rsid w:val="009A056D"/>
    <w:rsid w:val="009A743B"/>
    <w:rsid w:val="009B67D4"/>
    <w:rsid w:val="009C34C4"/>
    <w:rsid w:val="009D13A4"/>
    <w:rsid w:val="009E1C21"/>
    <w:rsid w:val="009E3FA6"/>
    <w:rsid w:val="009E4BED"/>
    <w:rsid w:val="009E60FD"/>
    <w:rsid w:val="009F1B40"/>
    <w:rsid w:val="009F2C30"/>
    <w:rsid w:val="009F5151"/>
    <w:rsid w:val="009F58BB"/>
    <w:rsid w:val="00A021F2"/>
    <w:rsid w:val="00A0443C"/>
    <w:rsid w:val="00A140A3"/>
    <w:rsid w:val="00A251E8"/>
    <w:rsid w:val="00A27A78"/>
    <w:rsid w:val="00A318E9"/>
    <w:rsid w:val="00A61256"/>
    <w:rsid w:val="00A6284F"/>
    <w:rsid w:val="00A64B50"/>
    <w:rsid w:val="00A65523"/>
    <w:rsid w:val="00A71F1F"/>
    <w:rsid w:val="00A7755A"/>
    <w:rsid w:val="00A90173"/>
    <w:rsid w:val="00A9686E"/>
    <w:rsid w:val="00AA1109"/>
    <w:rsid w:val="00AA118F"/>
    <w:rsid w:val="00AA576E"/>
    <w:rsid w:val="00AB6DCC"/>
    <w:rsid w:val="00AD3106"/>
    <w:rsid w:val="00B271FA"/>
    <w:rsid w:val="00B31869"/>
    <w:rsid w:val="00B51FC4"/>
    <w:rsid w:val="00B571A7"/>
    <w:rsid w:val="00B64F9F"/>
    <w:rsid w:val="00B67303"/>
    <w:rsid w:val="00B7225F"/>
    <w:rsid w:val="00B9174E"/>
    <w:rsid w:val="00BA1485"/>
    <w:rsid w:val="00BA1B30"/>
    <w:rsid w:val="00BA5713"/>
    <w:rsid w:val="00BB6082"/>
    <w:rsid w:val="00BC6C0E"/>
    <w:rsid w:val="00BD3D9F"/>
    <w:rsid w:val="00BD52CE"/>
    <w:rsid w:val="00BE0F69"/>
    <w:rsid w:val="00BE47BD"/>
    <w:rsid w:val="00BE7D56"/>
    <w:rsid w:val="00BF0532"/>
    <w:rsid w:val="00BF05CD"/>
    <w:rsid w:val="00BF2D9D"/>
    <w:rsid w:val="00BF5574"/>
    <w:rsid w:val="00BF595F"/>
    <w:rsid w:val="00C03272"/>
    <w:rsid w:val="00C07127"/>
    <w:rsid w:val="00C07A40"/>
    <w:rsid w:val="00C25207"/>
    <w:rsid w:val="00C27A16"/>
    <w:rsid w:val="00C46682"/>
    <w:rsid w:val="00C52920"/>
    <w:rsid w:val="00C53366"/>
    <w:rsid w:val="00C56BFA"/>
    <w:rsid w:val="00C76BD8"/>
    <w:rsid w:val="00C84DF2"/>
    <w:rsid w:val="00C9232A"/>
    <w:rsid w:val="00C96072"/>
    <w:rsid w:val="00CC53D0"/>
    <w:rsid w:val="00CD1D91"/>
    <w:rsid w:val="00CD4C3A"/>
    <w:rsid w:val="00CF7EC4"/>
    <w:rsid w:val="00D0385E"/>
    <w:rsid w:val="00D07CA1"/>
    <w:rsid w:val="00D162F4"/>
    <w:rsid w:val="00D22053"/>
    <w:rsid w:val="00D2595B"/>
    <w:rsid w:val="00D44564"/>
    <w:rsid w:val="00D60D73"/>
    <w:rsid w:val="00D7187B"/>
    <w:rsid w:val="00D76CAC"/>
    <w:rsid w:val="00D82DB4"/>
    <w:rsid w:val="00D876DD"/>
    <w:rsid w:val="00DB71BE"/>
    <w:rsid w:val="00DC2B5A"/>
    <w:rsid w:val="00DC6F30"/>
    <w:rsid w:val="00DD0E85"/>
    <w:rsid w:val="00DE61D3"/>
    <w:rsid w:val="00DF7943"/>
    <w:rsid w:val="00E06658"/>
    <w:rsid w:val="00E06F88"/>
    <w:rsid w:val="00E11853"/>
    <w:rsid w:val="00E119A1"/>
    <w:rsid w:val="00E1723F"/>
    <w:rsid w:val="00E22375"/>
    <w:rsid w:val="00E26188"/>
    <w:rsid w:val="00E3774A"/>
    <w:rsid w:val="00E443C0"/>
    <w:rsid w:val="00E56AB0"/>
    <w:rsid w:val="00E76942"/>
    <w:rsid w:val="00E93486"/>
    <w:rsid w:val="00E94E72"/>
    <w:rsid w:val="00EB4733"/>
    <w:rsid w:val="00EC02BF"/>
    <w:rsid w:val="00EC20E0"/>
    <w:rsid w:val="00EC7039"/>
    <w:rsid w:val="00EC77D6"/>
    <w:rsid w:val="00EC7BF9"/>
    <w:rsid w:val="00ED23DD"/>
    <w:rsid w:val="00EE4923"/>
    <w:rsid w:val="00F17FFD"/>
    <w:rsid w:val="00F22C2B"/>
    <w:rsid w:val="00F31E56"/>
    <w:rsid w:val="00F42AA7"/>
    <w:rsid w:val="00F46300"/>
    <w:rsid w:val="00F51BDA"/>
    <w:rsid w:val="00F73D6B"/>
    <w:rsid w:val="00FA0C93"/>
    <w:rsid w:val="00FC2118"/>
    <w:rsid w:val="00FC7A29"/>
    <w:rsid w:val="00FD3306"/>
    <w:rsid w:val="00FD51E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3">
    <w:name w:val="Grid Table 2 Accent 3"/>
    <w:basedOn w:val="Normlntabulka"/>
    <w:uiPriority w:val="47"/>
    <w:rsid w:val="009E4BE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4.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14</TotalTime>
  <Pages>6</Pages>
  <Words>1805</Words>
  <Characters>9970</Characters>
  <Application>Microsoft Office Word</Application>
  <DocSecurity>0</DocSecurity>
  <Lines>168</Lines>
  <Paragraphs>56</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Q1 2024 Financial Highlights:</vt:lpstr>
    </vt:vector>
  </TitlesOfParts>
  <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6</cp:revision>
  <dcterms:created xsi:type="dcterms:W3CDTF">2024-05-22T14:33:00Z</dcterms:created>
  <dcterms:modified xsi:type="dcterms:W3CDTF">2024-05-23T05:45:00Z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