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7BB5" w14:textId="42952BAF" w:rsidR="007A7F42" w:rsidRPr="00D86A6D" w:rsidRDefault="00D86A6D" w:rsidP="0071551B">
      <w:pPr>
        <w:snapToGrid w:val="0"/>
        <w:spacing w:line="276" w:lineRule="auto"/>
        <w:jc w:val="right"/>
        <w:rPr>
          <w:rFonts w:ascii="Calibri" w:hAnsi="Calibri" w:cs="Calibri"/>
          <w:b/>
          <w:bCs/>
          <w:caps/>
        </w:rPr>
      </w:pPr>
      <w:r w:rsidRPr="00D86A6D">
        <w:rPr>
          <w:rFonts w:ascii="Calibri" w:hAnsi="Calibri" w:cs="Calibri"/>
          <w:b/>
          <w:bCs/>
          <w:caps/>
        </w:rPr>
        <w:t>TISKOVÁ ZPRÁVA</w:t>
      </w:r>
    </w:p>
    <w:p w14:paraId="32367917" w14:textId="4ABB8CFF" w:rsidR="007A7F42" w:rsidRPr="000263F5" w:rsidRDefault="007A7F42" w:rsidP="0071551B">
      <w:pPr>
        <w:snapToGrid w:val="0"/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181CE0B7" w14:textId="77777777" w:rsidR="00873AF5" w:rsidRPr="000263F5" w:rsidRDefault="00873AF5" w:rsidP="0071551B">
      <w:pPr>
        <w:snapToGrid w:val="0"/>
        <w:spacing w:line="276" w:lineRule="auto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4DB37EAE" w14:textId="77777777" w:rsidR="00700B67" w:rsidRDefault="007A7F42" w:rsidP="0071551B">
      <w:pPr>
        <w:snapToGrid w:val="0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C21A75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CZG – Česká zbrojovka Group SE </w:t>
      </w:r>
      <w:r w:rsidR="00F945A7">
        <w:rPr>
          <w:rFonts w:ascii="Calibri" w:hAnsi="Calibri" w:cs="Calibri"/>
          <w:b/>
          <w:bCs/>
          <w:color w:val="000000" w:themeColor="text1"/>
          <w:sz w:val="32"/>
          <w:szCs w:val="32"/>
        </w:rPr>
        <w:t>v prvním pololetí</w:t>
      </w:r>
    </w:p>
    <w:p w14:paraId="6ED032E1" w14:textId="7A0FB751" w:rsidR="007A7F42" w:rsidRPr="00700B67" w:rsidRDefault="00700B67" w:rsidP="00700B67">
      <w:pPr>
        <w:snapToGrid w:val="0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zvýšila </w:t>
      </w:r>
      <w:r w:rsidR="00F945A7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výnosy </w:t>
      </w: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meziročně </w:t>
      </w:r>
      <w:r w:rsidR="00F945A7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o </w:t>
      </w: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>41</w:t>
      </w:r>
      <w:r w:rsidR="00F945A7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procent a </w:t>
      </w: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čistý </w:t>
      </w:r>
      <w:r w:rsidR="00F945A7">
        <w:rPr>
          <w:rFonts w:ascii="Calibri" w:hAnsi="Calibri" w:cs="Calibri"/>
          <w:b/>
          <w:bCs/>
          <w:color w:val="000000" w:themeColor="text1"/>
          <w:sz w:val="32"/>
          <w:szCs w:val="32"/>
        </w:rPr>
        <w:t>zisk o 54 procent</w:t>
      </w:r>
    </w:p>
    <w:p w14:paraId="4925D079" w14:textId="5C4B65D5" w:rsidR="00873AF5" w:rsidRDefault="00873AF5" w:rsidP="0071551B">
      <w:pPr>
        <w:snapToGri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38E7624" w14:textId="77777777" w:rsidR="00C21A75" w:rsidRPr="00D86A6D" w:rsidRDefault="00C21A75" w:rsidP="0071551B">
      <w:pPr>
        <w:snapToGri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EC71B14" w14:textId="37111FB8" w:rsidR="008403E1" w:rsidRPr="008124F2" w:rsidRDefault="00E01E58" w:rsidP="008124F2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6A6D">
        <w:rPr>
          <w:rFonts w:ascii="Calibri" w:hAnsi="Calibri" w:cs="Calibri"/>
          <w:b/>
          <w:bCs/>
          <w:color w:val="000000" w:themeColor="text1"/>
          <w:sz w:val="22"/>
          <w:szCs w:val="22"/>
        </w:rPr>
        <w:t>Praha</w:t>
      </w:r>
      <w:r w:rsidR="007A7F42" w:rsidRPr="00D86A6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(</w:t>
      </w:r>
      <w:r w:rsidR="006A6D03">
        <w:rPr>
          <w:rFonts w:ascii="Calibri" w:hAnsi="Calibri" w:cs="Calibri"/>
          <w:b/>
          <w:bCs/>
          <w:color w:val="000000" w:themeColor="text1"/>
          <w:sz w:val="22"/>
          <w:szCs w:val="22"/>
        </w:rPr>
        <w:t>29</w:t>
      </w:r>
      <w:r w:rsidRPr="00D86A6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06A6D03">
        <w:rPr>
          <w:rFonts w:ascii="Calibri" w:hAnsi="Calibri" w:cs="Calibri"/>
          <w:b/>
          <w:bCs/>
          <w:color w:val="000000" w:themeColor="text1"/>
          <w:sz w:val="22"/>
          <w:szCs w:val="22"/>
        </w:rPr>
        <w:t>září</w:t>
      </w:r>
      <w:r w:rsidR="007A7F42" w:rsidRPr="00D86A6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</w:t>
      </w:r>
      <w:r w:rsidRPr="00D86A6D">
        <w:rPr>
          <w:rFonts w:ascii="Calibri" w:hAnsi="Calibri" w:cs="Calibri"/>
          <w:b/>
          <w:bCs/>
          <w:color w:val="000000" w:themeColor="text1"/>
          <w:sz w:val="22"/>
          <w:szCs w:val="22"/>
        </w:rPr>
        <w:t>1</w:t>
      </w:r>
      <w:r w:rsidR="007A7F42" w:rsidRPr="00D86A6D">
        <w:rPr>
          <w:rFonts w:ascii="Calibri" w:hAnsi="Calibri" w:cs="Calibri"/>
          <w:b/>
          <w:bCs/>
          <w:color w:val="000000" w:themeColor="text1"/>
          <w:sz w:val="22"/>
          <w:szCs w:val="22"/>
        </w:rPr>
        <w:t>)</w:t>
      </w:r>
      <w:r w:rsidR="007A7F42" w:rsidRPr="00D86A6D">
        <w:rPr>
          <w:rFonts w:ascii="Calibri" w:hAnsi="Calibri" w:cs="Calibri"/>
          <w:color w:val="000000" w:themeColor="text1"/>
          <w:sz w:val="22"/>
          <w:szCs w:val="22"/>
        </w:rPr>
        <w:t xml:space="preserve"> ― </w:t>
      </w:r>
      <w:r w:rsidR="006A6D03">
        <w:rPr>
          <w:rFonts w:ascii="Calibri" w:hAnsi="Calibri" w:cs="Calibri"/>
          <w:color w:val="000000" w:themeColor="text1"/>
          <w:sz w:val="22"/>
          <w:szCs w:val="22"/>
        </w:rPr>
        <w:t xml:space="preserve">Společnost </w:t>
      </w:r>
      <w:r w:rsidRPr="00D86A6D">
        <w:rPr>
          <w:rFonts w:ascii="Calibri" w:hAnsi="Calibri" w:cs="Calibri"/>
          <w:color w:val="000000" w:themeColor="text1"/>
          <w:sz w:val="22"/>
          <w:szCs w:val="22"/>
        </w:rPr>
        <w:t xml:space="preserve">CZG </w:t>
      </w:r>
      <w:r w:rsidR="00BD7D46" w:rsidRPr="00D86A6D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Pr="00D86A6D">
        <w:rPr>
          <w:rFonts w:ascii="Calibri" w:hAnsi="Calibri" w:cs="Calibri"/>
          <w:color w:val="000000" w:themeColor="text1"/>
          <w:sz w:val="22"/>
          <w:szCs w:val="22"/>
        </w:rPr>
        <w:t>Česká zbrojovka Group SE (</w:t>
      </w:r>
      <w:r w:rsidR="006A6D03">
        <w:rPr>
          <w:rFonts w:ascii="Calibri" w:hAnsi="Calibri" w:cs="Calibri"/>
          <w:color w:val="000000" w:themeColor="text1"/>
          <w:sz w:val="22"/>
          <w:szCs w:val="22"/>
        </w:rPr>
        <w:t xml:space="preserve">dále </w:t>
      </w:r>
      <w:r w:rsidR="00943DC2" w:rsidRPr="00D86A6D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Pr="00D86A6D">
        <w:rPr>
          <w:rFonts w:ascii="Calibri" w:hAnsi="Calibri" w:cs="Calibri"/>
          <w:color w:val="000000" w:themeColor="text1"/>
          <w:sz w:val="22"/>
          <w:szCs w:val="22"/>
        </w:rPr>
        <w:t xml:space="preserve">CZG”, „Skupina“ nebo “Společnost”) </w:t>
      </w:r>
      <w:r w:rsidR="00B566FE" w:rsidRPr="0071551B">
        <w:rPr>
          <w:rFonts w:ascii="Calibri" w:hAnsi="Calibri" w:cs="Calibri"/>
          <w:sz w:val="22"/>
          <w:szCs w:val="22"/>
        </w:rPr>
        <w:t xml:space="preserve">vykázala </w:t>
      </w:r>
      <w:r w:rsidR="00D33961">
        <w:rPr>
          <w:rFonts w:ascii="Calibri" w:hAnsi="Calibri" w:cs="Calibri"/>
          <w:sz w:val="22"/>
          <w:szCs w:val="22"/>
        </w:rPr>
        <w:t>v první</w:t>
      </w:r>
      <w:r w:rsidR="009C7D42">
        <w:rPr>
          <w:rFonts w:ascii="Calibri" w:hAnsi="Calibri" w:cs="Calibri"/>
          <w:sz w:val="22"/>
          <w:szCs w:val="22"/>
        </w:rPr>
        <w:t>ch</w:t>
      </w:r>
      <w:r w:rsidR="00D33961">
        <w:rPr>
          <w:rFonts w:ascii="Calibri" w:hAnsi="Calibri" w:cs="Calibri"/>
          <w:sz w:val="22"/>
          <w:szCs w:val="22"/>
        </w:rPr>
        <w:t xml:space="preserve"> </w:t>
      </w:r>
      <w:r w:rsidR="009C7D42">
        <w:rPr>
          <w:rFonts w:ascii="Calibri" w:hAnsi="Calibri" w:cs="Calibri"/>
          <w:sz w:val="22"/>
          <w:szCs w:val="22"/>
        </w:rPr>
        <w:t>šesti měsících</w:t>
      </w:r>
      <w:r w:rsidR="00D33961">
        <w:rPr>
          <w:rFonts w:ascii="Calibri" w:hAnsi="Calibri" w:cs="Calibri"/>
          <w:sz w:val="22"/>
          <w:szCs w:val="22"/>
        </w:rPr>
        <w:t xml:space="preserve"> letošního roku </w:t>
      </w:r>
      <w:r w:rsidR="00B566FE" w:rsidRPr="0071551B">
        <w:rPr>
          <w:rFonts w:ascii="Calibri" w:hAnsi="Calibri" w:cs="Calibri"/>
          <w:sz w:val="22"/>
          <w:szCs w:val="22"/>
        </w:rPr>
        <w:t xml:space="preserve">nárůst ve všech klíčových ukazatelích, a to zejména díky </w:t>
      </w:r>
      <w:r w:rsidR="002C047B">
        <w:rPr>
          <w:rFonts w:ascii="Calibri" w:hAnsi="Calibri" w:cs="Calibri"/>
          <w:sz w:val="22"/>
          <w:szCs w:val="22"/>
        </w:rPr>
        <w:t>vyšším</w:t>
      </w:r>
      <w:r w:rsidR="00B566FE" w:rsidRPr="0071551B">
        <w:rPr>
          <w:rFonts w:ascii="Calibri" w:hAnsi="Calibri" w:cs="Calibri"/>
          <w:sz w:val="22"/>
          <w:szCs w:val="22"/>
        </w:rPr>
        <w:t xml:space="preserve"> prodejů</w:t>
      </w:r>
      <w:r w:rsidR="002C047B">
        <w:rPr>
          <w:rFonts w:ascii="Calibri" w:hAnsi="Calibri" w:cs="Calibri"/>
          <w:sz w:val="22"/>
          <w:szCs w:val="22"/>
        </w:rPr>
        <w:t>m</w:t>
      </w:r>
      <w:r w:rsidR="00B566FE" w:rsidRPr="0071551B">
        <w:rPr>
          <w:rFonts w:ascii="Calibri" w:hAnsi="Calibri" w:cs="Calibri"/>
          <w:sz w:val="22"/>
          <w:szCs w:val="22"/>
        </w:rPr>
        <w:t xml:space="preserve"> zbraní ve Spojených státech, Africe a Asii</w:t>
      </w:r>
      <w:r w:rsidR="0071551B" w:rsidRPr="0071551B">
        <w:rPr>
          <w:rFonts w:ascii="Calibri" w:hAnsi="Calibri" w:cs="Calibri"/>
          <w:sz w:val="22"/>
          <w:szCs w:val="22"/>
        </w:rPr>
        <w:t>.</w:t>
      </w:r>
      <w:r w:rsidR="00B566FE" w:rsidRPr="0071551B">
        <w:rPr>
          <w:rFonts w:ascii="Calibri" w:hAnsi="Calibri" w:cs="Calibri"/>
          <w:sz w:val="22"/>
          <w:szCs w:val="22"/>
        </w:rPr>
        <w:t xml:space="preserve"> </w:t>
      </w:r>
      <w:r w:rsidR="0071551B" w:rsidRPr="0071551B">
        <w:rPr>
          <w:rFonts w:ascii="Calibri" w:hAnsi="Calibri" w:cs="Calibri"/>
          <w:sz w:val="22"/>
          <w:szCs w:val="22"/>
        </w:rPr>
        <w:t>P</w:t>
      </w:r>
      <w:r w:rsidR="00B566FE" w:rsidRPr="0071551B">
        <w:rPr>
          <w:rFonts w:ascii="Calibri" w:hAnsi="Calibri" w:cs="Calibri"/>
          <w:sz w:val="22"/>
          <w:szCs w:val="22"/>
        </w:rPr>
        <w:t xml:space="preserve">ozitivně také přispěla </w:t>
      </w:r>
      <w:r w:rsidR="008403E1">
        <w:rPr>
          <w:rFonts w:ascii="Calibri" w:hAnsi="Calibri" w:cs="Calibri"/>
          <w:sz w:val="22"/>
          <w:szCs w:val="22"/>
        </w:rPr>
        <w:t xml:space="preserve">akvizice společnosti </w:t>
      </w:r>
      <w:proofErr w:type="spellStart"/>
      <w:r w:rsidR="008403E1">
        <w:rPr>
          <w:rFonts w:ascii="Calibri" w:hAnsi="Calibri" w:cs="Calibri"/>
          <w:sz w:val="22"/>
          <w:szCs w:val="22"/>
        </w:rPr>
        <w:t>Colt</w:t>
      </w:r>
      <w:proofErr w:type="spellEnd"/>
      <w:r w:rsidR="008403E1">
        <w:rPr>
          <w:rFonts w:ascii="Calibri" w:hAnsi="Calibri" w:cs="Calibri"/>
          <w:sz w:val="22"/>
          <w:szCs w:val="22"/>
        </w:rPr>
        <w:t xml:space="preserve"> a </w:t>
      </w:r>
      <w:r w:rsidR="00B566FE" w:rsidRPr="0071551B">
        <w:rPr>
          <w:rFonts w:ascii="Calibri" w:hAnsi="Calibri" w:cs="Calibri"/>
          <w:sz w:val="22"/>
          <w:szCs w:val="22"/>
        </w:rPr>
        <w:t xml:space="preserve">konsolidace </w:t>
      </w:r>
      <w:r w:rsidR="008403E1">
        <w:rPr>
          <w:rFonts w:ascii="Calibri" w:hAnsi="Calibri" w:cs="Calibri"/>
          <w:sz w:val="22"/>
          <w:szCs w:val="22"/>
        </w:rPr>
        <w:t>jejích výnosů</w:t>
      </w:r>
      <w:r w:rsidR="00B566FE" w:rsidRPr="0071551B">
        <w:rPr>
          <w:rFonts w:ascii="Calibri" w:hAnsi="Calibri" w:cs="Calibri"/>
          <w:sz w:val="22"/>
          <w:szCs w:val="22"/>
        </w:rPr>
        <w:t xml:space="preserve"> </w:t>
      </w:r>
      <w:r w:rsidR="00585243">
        <w:rPr>
          <w:rFonts w:ascii="Calibri" w:hAnsi="Calibri" w:cs="Calibri"/>
          <w:sz w:val="22"/>
          <w:szCs w:val="22"/>
        </w:rPr>
        <w:t xml:space="preserve">do celkového hospodaření CZG </w:t>
      </w:r>
      <w:r w:rsidR="00B566FE" w:rsidRPr="0071551B">
        <w:rPr>
          <w:rFonts w:ascii="Calibri" w:hAnsi="Calibri" w:cs="Calibri"/>
          <w:sz w:val="22"/>
          <w:szCs w:val="22"/>
        </w:rPr>
        <w:t>od 2</w:t>
      </w:r>
      <w:r w:rsidR="00A4135B">
        <w:rPr>
          <w:rFonts w:ascii="Calibri" w:hAnsi="Calibri" w:cs="Calibri"/>
          <w:sz w:val="22"/>
          <w:szCs w:val="22"/>
        </w:rPr>
        <w:t>1</w:t>
      </w:r>
      <w:r w:rsidR="00B566FE" w:rsidRPr="0071551B">
        <w:rPr>
          <w:rFonts w:ascii="Calibri" w:hAnsi="Calibri" w:cs="Calibri"/>
          <w:sz w:val="22"/>
          <w:szCs w:val="22"/>
        </w:rPr>
        <w:t>. května 2021.</w:t>
      </w:r>
      <w:r w:rsidR="00D33961">
        <w:rPr>
          <w:rFonts w:ascii="Calibri" w:hAnsi="Calibri" w:cs="Calibri"/>
          <w:sz w:val="22"/>
          <w:szCs w:val="22"/>
        </w:rPr>
        <w:t xml:space="preserve"> Vyplývá to z dnes zveřejněných konsolidovaných neauditovaných finančních výsledků.</w:t>
      </w:r>
    </w:p>
    <w:p w14:paraId="79558C1D" w14:textId="77777777" w:rsidR="00E739D3" w:rsidRDefault="00E739D3" w:rsidP="0071551B">
      <w:pPr>
        <w:snapToGrid w:val="0"/>
        <w:spacing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41BFB50" w14:textId="77777777" w:rsidR="00D33961" w:rsidRDefault="00D33961" w:rsidP="00D33961">
      <w:pPr>
        <w:snapToGrid w:val="0"/>
        <w:spacing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86A6D">
        <w:rPr>
          <w:rFonts w:ascii="Calibri" w:hAnsi="Calibri" w:cs="Calibri"/>
          <w:b/>
          <w:bCs/>
          <w:color w:val="000000" w:themeColor="text1"/>
          <w:sz w:val="22"/>
          <w:szCs w:val="22"/>
        </w:rPr>
        <w:t>Klíčové finanční údaje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za první pololetí</w:t>
      </w:r>
      <w:r w:rsidRPr="00D86A6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roku 202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1:</w:t>
      </w:r>
    </w:p>
    <w:p w14:paraId="20851617" w14:textId="77777777" w:rsidR="00D33961" w:rsidRPr="00D86A6D" w:rsidRDefault="00D33961" w:rsidP="00D33961">
      <w:pPr>
        <w:snapToGrid w:val="0"/>
        <w:spacing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CAD24A8" w14:textId="34C467BB" w:rsidR="00D33961" w:rsidRPr="00DB2F2C" w:rsidRDefault="00D33961" w:rsidP="00D33961">
      <w:pPr>
        <w:pStyle w:val="Odstavecseseznamem"/>
        <w:numPr>
          <w:ilvl w:val="0"/>
          <w:numId w:val="23"/>
        </w:numPr>
        <w:snapToGrid w:val="0"/>
        <w:spacing w:before="0" w:after="0" w:line="276" w:lineRule="auto"/>
        <w:rPr>
          <w:rFonts w:eastAsia="Montserrat Light"/>
          <w:color w:val="000000" w:themeColor="text1"/>
          <w:lang w:val="cs-CZ"/>
        </w:rPr>
      </w:pPr>
      <w:r w:rsidRPr="00DB2F2C">
        <w:rPr>
          <w:rFonts w:eastAsia="Montserrat Light"/>
          <w:color w:val="000000" w:themeColor="text1"/>
          <w:lang w:val="cs-CZ"/>
        </w:rPr>
        <w:t xml:space="preserve">Výnosy </w:t>
      </w:r>
      <w:r w:rsidR="005A2538">
        <w:rPr>
          <w:rFonts w:eastAsia="Montserrat Light"/>
          <w:color w:val="000000" w:themeColor="text1"/>
          <w:lang w:val="cs-CZ"/>
        </w:rPr>
        <w:t>CZG</w:t>
      </w:r>
      <w:r w:rsidRPr="00DB2F2C">
        <w:rPr>
          <w:rFonts w:eastAsia="Montserrat Light"/>
          <w:color w:val="000000" w:themeColor="text1"/>
          <w:lang w:val="cs-CZ"/>
        </w:rPr>
        <w:t xml:space="preserve"> v první polovině roku 2021 dosáhly </w:t>
      </w:r>
      <w:r w:rsidRPr="00DB2F2C">
        <w:rPr>
          <w:color w:val="000000" w:themeColor="text1"/>
          <w:w w:val="0"/>
          <w:lang w:val="cs-CZ"/>
        </w:rPr>
        <w:t>4,7 miliard korun</w:t>
      </w:r>
      <w:r w:rsidRPr="00DB2F2C">
        <w:rPr>
          <w:rFonts w:eastAsia="Montserrat Light"/>
          <w:color w:val="000000" w:themeColor="text1"/>
          <w:lang w:val="cs-CZ"/>
        </w:rPr>
        <w:t xml:space="preserve">, jedná se tak o meziroční nárůst o </w:t>
      </w:r>
      <w:r w:rsidRPr="00DB2F2C">
        <w:rPr>
          <w:color w:val="000000" w:themeColor="text1"/>
          <w:w w:val="0"/>
          <w:lang w:val="cs-CZ"/>
        </w:rPr>
        <w:t>40,6 %</w:t>
      </w:r>
      <w:r w:rsidRPr="00DB2F2C">
        <w:rPr>
          <w:rFonts w:eastAsia="Montserrat Light"/>
          <w:color w:val="000000" w:themeColor="text1"/>
          <w:lang w:val="cs-CZ"/>
        </w:rPr>
        <w:t>.</w:t>
      </w:r>
    </w:p>
    <w:p w14:paraId="776AB2A0" w14:textId="782F7FB8" w:rsidR="00C77B04" w:rsidRPr="00DB2F2C" w:rsidRDefault="00D33961" w:rsidP="00DB2F2C">
      <w:pPr>
        <w:pStyle w:val="Odstavecseseznamem"/>
        <w:numPr>
          <w:ilvl w:val="0"/>
          <w:numId w:val="23"/>
        </w:numPr>
        <w:snapToGrid w:val="0"/>
        <w:spacing w:before="0" w:after="0" w:line="276" w:lineRule="auto"/>
        <w:ind w:left="357" w:hanging="357"/>
        <w:rPr>
          <w:rFonts w:eastAsia="Montserrat Light"/>
          <w:color w:val="000000" w:themeColor="text1"/>
          <w:lang w:val="cs-CZ"/>
        </w:rPr>
      </w:pPr>
      <w:r w:rsidRPr="00DB2F2C">
        <w:rPr>
          <w:rFonts w:eastAsia="Montserrat Light"/>
          <w:color w:val="000000" w:themeColor="text1"/>
          <w:lang w:val="cs-CZ"/>
        </w:rPr>
        <w:t xml:space="preserve">Čistý zisk </w:t>
      </w:r>
      <w:r w:rsidR="006C05CD">
        <w:rPr>
          <w:rFonts w:eastAsia="Montserrat Light"/>
          <w:color w:val="000000" w:themeColor="text1"/>
          <w:lang w:val="cs-CZ"/>
        </w:rPr>
        <w:t>S</w:t>
      </w:r>
      <w:r w:rsidRPr="00DB2F2C">
        <w:rPr>
          <w:rFonts w:eastAsia="Montserrat Light"/>
          <w:color w:val="000000" w:themeColor="text1"/>
          <w:lang w:val="cs-CZ"/>
        </w:rPr>
        <w:t xml:space="preserve">polečnosti dosáhl za prvních šest měsíců letošního roku </w:t>
      </w:r>
      <w:r w:rsidRPr="00DB2F2C">
        <w:rPr>
          <w:color w:val="000000" w:themeColor="text1"/>
          <w:w w:val="0"/>
          <w:lang w:val="cs-CZ"/>
        </w:rPr>
        <w:t>587,9 milionu Kč</w:t>
      </w:r>
      <w:r w:rsidRPr="00DB2F2C">
        <w:rPr>
          <w:rFonts w:eastAsia="Montserrat Light"/>
          <w:color w:val="000000" w:themeColor="text1"/>
          <w:lang w:val="cs-CZ"/>
        </w:rPr>
        <w:t xml:space="preserve">, což je o </w:t>
      </w:r>
      <w:r w:rsidRPr="00DB2F2C">
        <w:rPr>
          <w:color w:val="000000" w:themeColor="text1"/>
          <w:w w:val="0"/>
          <w:lang w:val="cs-CZ"/>
        </w:rPr>
        <w:t xml:space="preserve">54,0 </w:t>
      </w:r>
      <w:r w:rsidRPr="00DB2F2C">
        <w:rPr>
          <w:rFonts w:eastAsia="Montserrat Light"/>
          <w:color w:val="000000" w:themeColor="text1"/>
          <w:lang w:val="cs-CZ"/>
        </w:rPr>
        <w:t xml:space="preserve">% více než za první pololetí roku 2020. </w:t>
      </w:r>
    </w:p>
    <w:p w14:paraId="6CA79215" w14:textId="1EFE2739" w:rsidR="006C05CD" w:rsidRDefault="00DB2F2C" w:rsidP="00DB2F2C">
      <w:pPr>
        <w:pStyle w:val="Odstavecseseznamem"/>
        <w:numPr>
          <w:ilvl w:val="0"/>
          <w:numId w:val="23"/>
        </w:numPr>
        <w:spacing w:before="0" w:after="0" w:line="276" w:lineRule="auto"/>
        <w:ind w:left="357" w:hanging="357"/>
        <w:rPr>
          <w:rFonts w:eastAsiaTheme="minorHAnsi"/>
          <w:lang w:val="cs-CZ" w:eastAsia="en-US"/>
        </w:rPr>
      </w:pPr>
      <w:r w:rsidRPr="00DB2F2C">
        <w:rPr>
          <w:rFonts w:eastAsiaTheme="minorHAnsi"/>
          <w:lang w:val="cs-CZ" w:eastAsia="en-US"/>
        </w:rPr>
        <w:t>Ukazatel EBITDA vzrostl za šest měsíců do 30. června 2021 ve srovnání se stejným obdobím roku 2020 o 12</w:t>
      </w:r>
      <w:r w:rsidR="00765E7B">
        <w:rPr>
          <w:rFonts w:eastAsiaTheme="minorHAnsi"/>
          <w:lang w:val="cs-CZ" w:eastAsia="en-US"/>
        </w:rPr>
        <w:t>,</w:t>
      </w:r>
      <w:r w:rsidRPr="00DB2F2C">
        <w:rPr>
          <w:rFonts w:eastAsiaTheme="minorHAnsi"/>
          <w:lang w:val="cs-CZ" w:eastAsia="en-US"/>
        </w:rPr>
        <w:t xml:space="preserve">5 %, na 984,1 milionu Kč, a to zejména z důvodu významného růstu globálních prodejů především na kontinentech mimo Evropu. </w:t>
      </w:r>
    </w:p>
    <w:p w14:paraId="3FD03D4D" w14:textId="0C996480" w:rsidR="00D33961" w:rsidRPr="00DB2F2C" w:rsidRDefault="00C77B04" w:rsidP="00DB2F2C">
      <w:pPr>
        <w:pStyle w:val="Odstavecseseznamem"/>
        <w:numPr>
          <w:ilvl w:val="0"/>
          <w:numId w:val="23"/>
        </w:numPr>
        <w:spacing w:before="0" w:after="0" w:line="276" w:lineRule="auto"/>
        <w:ind w:left="357" w:hanging="357"/>
        <w:rPr>
          <w:rFonts w:eastAsiaTheme="minorHAnsi"/>
          <w:lang w:val="cs-CZ" w:eastAsia="en-US"/>
        </w:rPr>
      </w:pPr>
      <w:r w:rsidRPr="00DB2F2C">
        <w:rPr>
          <w:rFonts w:eastAsiaTheme="minorHAnsi"/>
          <w:lang w:val="cs-CZ" w:eastAsia="en-US"/>
        </w:rPr>
        <w:t xml:space="preserve">Ukazatel normalizované EBITDA očištěný o mimořádné vlivy spojené s akvizicí </w:t>
      </w:r>
      <w:proofErr w:type="spellStart"/>
      <w:r w:rsidRPr="00DB2F2C">
        <w:rPr>
          <w:rFonts w:eastAsiaTheme="minorHAnsi"/>
          <w:lang w:val="cs-CZ" w:eastAsia="en-US"/>
        </w:rPr>
        <w:t>Coltu</w:t>
      </w:r>
      <w:proofErr w:type="spellEnd"/>
      <w:r w:rsidRPr="00DB2F2C">
        <w:rPr>
          <w:rFonts w:eastAsiaTheme="minorHAnsi"/>
          <w:lang w:val="cs-CZ" w:eastAsia="en-US"/>
        </w:rPr>
        <w:t xml:space="preserve"> činil za první šest měsíců </w:t>
      </w:r>
      <w:r w:rsidR="006C05CD">
        <w:rPr>
          <w:rFonts w:eastAsiaTheme="minorHAnsi"/>
          <w:lang w:val="cs-CZ" w:eastAsia="en-US"/>
        </w:rPr>
        <w:t xml:space="preserve">letošního </w:t>
      </w:r>
      <w:r w:rsidRPr="00DB2F2C">
        <w:rPr>
          <w:rFonts w:eastAsiaTheme="minorHAnsi"/>
          <w:lang w:val="cs-CZ" w:eastAsia="en-US"/>
        </w:rPr>
        <w:t xml:space="preserve">roku 1 203,6 milionu Kč. Mezi </w:t>
      </w:r>
      <w:r w:rsidR="006C05CD">
        <w:rPr>
          <w:rFonts w:eastAsiaTheme="minorHAnsi"/>
          <w:lang w:val="cs-CZ" w:eastAsia="en-US"/>
        </w:rPr>
        <w:t>ně</w:t>
      </w:r>
      <w:r w:rsidRPr="00DB2F2C">
        <w:rPr>
          <w:rFonts w:eastAsiaTheme="minorHAnsi"/>
          <w:lang w:val="cs-CZ" w:eastAsia="en-US"/>
        </w:rPr>
        <w:t xml:space="preserve"> patří především náklady na profesionální poradce a ostatní služby spojené s akvizicí </w:t>
      </w:r>
      <w:proofErr w:type="spellStart"/>
      <w:r w:rsidRPr="00DB2F2C">
        <w:rPr>
          <w:rFonts w:eastAsiaTheme="minorHAnsi"/>
          <w:lang w:val="cs-CZ" w:eastAsia="en-US"/>
        </w:rPr>
        <w:t>Coltu</w:t>
      </w:r>
      <w:proofErr w:type="spellEnd"/>
      <w:r w:rsidRPr="00DB2F2C">
        <w:rPr>
          <w:rFonts w:eastAsiaTheme="minorHAnsi"/>
          <w:lang w:val="cs-CZ" w:eastAsia="en-US"/>
        </w:rPr>
        <w:t xml:space="preserve"> a odpis majetku</w:t>
      </w:r>
      <w:r w:rsidR="00623830">
        <w:rPr>
          <w:rFonts w:eastAsiaTheme="minorHAnsi"/>
          <w:lang w:val="cs-CZ" w:eastAsia="en-US"/>
        </w:rPr>
        <w:t xml:space="preserve"> </w:t>
      </w:r>
      <w:r w:rsidRPr="00DB2F2C">
        <w:rPr>
          <w:rFonts w:eastAsiaTheme="minorHAnsi"/>
          <w:lang w:val="cs-CZ" w:eastAsia="en-US"/>
        </w:rPr>
        <w:t>v</w:t>
      </w:r>
      <w:r w:rsidR="00623830">
        <w:rPr>
          <w:rFonts w:eastAsiaTheme="minorHAnsi"/>
          <w:lang w:val="cs-CZ" w:eastAsia="en-US"/>
        </w:rPr>
        <w:t> </w:t>
      </w:r>
      <w:r w:rsidRPr="00DB2F2C">
        <w:rPr>
          <w:rFonts w:eastAsiaTheme="minorHAnsi"/>
          <w:lang w:val="cs-CZ" w:eastAsia="en-US"/>
        </w:rPr>
        <w:t>souvislosti</w:t>
      </w:r>
      <w:r w:rsidR="00623830">
        <w:rPr>
          <w:rFonts w:eastAsiaTheme="minorHAnsi"/>
          <w:lang w:val="cs-CZ" w:eastAsia="en-US"/>
        </w:rPr>
        <w:t xml:space="preserve"> </w:t>
      </w:r>
      <w:r w:rsidRPr="00DB2F2C">
        <w:rPr>
          <w:rFonts w:eastAsiaTheme="minorHAnsi"/>
          <w:lang w:val="cs-CZ" w:eastAsia="en-US"/>
        </w:rPr>
        <w:t>s</w:t>
      </w:r>
      <w:r w:rsidR="001779CD">
        <w:rPr>
          <w:rFonts w:eastAsiaTheme="minorHAnsi"/>
          <w:lang w:val="cs-CZ" w:eastAsia="en-US"/>
        </w:rPr>
        <w:t> avizovaným od</w:t>
      </w:r>
      <w:r w:rsidR="00C64859">
        <w:rPr>
          <w:rFonts w:eastAsiaTheme="minorHAnsi"/>
          <w:lang w:val="cs-CZ" w:eastAsia="en-US"/>
        </w:rPr>
        <w:t xml:space="preserve">ložením realizace </w:t>
      </w:r>
      <w:r w:rsidRPr="00DB2F2C">
        <w:rPr>
          <w:rFonts w:eastAsiaTheme="minorHAnsi"/>
          <w:lang w:val="cs-CZ" w:eastAsia="en-US"/>
        </w:rPr>
        <w:t>projekt</w:t>
      </w:r>
      <w:r w:rsidR="00C64859">
        <w:rPr>
          <w:rFonts w:eastAsiaTheme="minorHAnsi"/>
          <w:lang w:val="cs-CZ" w:eastAsia="en-US"/>
        </w:rPr>
        <w:t>u</w:t>
      </w:r>
      <w:r w:rsidRPr="00DB2F2C">
        <w:rPr>
          <w:rFonts w:eastAsiaTheme="minorHAnsi"/>
          <w:lang w:val="cs-CZ" w:eastAsia="en-US"/>
        </w:rPr>
        <w:t xml:space="preserve"> v Arkansasu.</w:t>
      </w:r>
    </w:p>
    <w:p w14:paraId="2263C8FE" w14:textId="77777777" w:rsidR="00D33961" w:rsidRPr="00D86A6D" w:rsidRDefault="00D33961" w:rsidP="00DB2F2C">
      <w:pPr>
        <w:pStyle w:val="Odstavecseseznamem"/>
        <w:numPr>
          <w:ilvl w:val="0"/>
          <w:numId w:val="23"/>
        </w:numPr>
        <w:snapToGrid w:val="0"/>
        <w:spacing w:before="0" w:after="0" w:line="276" w:lineRule="auto"/>
        <w:ind w:left="357" w:hanging="357"/>
        <w:rPr>
          <w:color w:val="000000" w:themeColor="text1"/>
          <w:w w:val="0"/>
          <w:lang w:val="cs-CZ"/>
        </w:rPr>
      </w:pPr>
      <w:r w:rsidRPr="00DB2F2C">
        <w:rPr>
          <w:color w:val="000000" w:themeColor="text1"/>
          <w:w w:val="0"/>
          <w:lang w:val="cs-CZ"/>
        </w:rPr>
        <w:t>Počet prodaných zbraní se v první polovině letošního roku zvýšil v porovnání s prvními šesti měsíci roku 2020 o 33,3 % a dosáhl 304 322 prodaných kusů. Krátké palné zbraně byly zastoupeny z 60,1</w:t>
      </w:r>
      <w:r>
        <w:rPr>
          <w:color w:val="000000" w:themeColor="text1"/>
          <w:w w:val="0"/>
          <w:lang w:val="cs-CZ"/>
        </w:rPr>
        <w:t xml:space="preserve"> %, dlouhé palné zbraně pak z 39,9 %.</w:t>
      </w:r>
    </w:p>
    <w:p w14:paraId="692283A6" w14:textId="77777777" w:rsidR="00D33961" w:rsidRPr="008403E1" w:rsidRDefault="00D33961" w:rsidP="00D33961">
      <w:pPr>
        <w:pStyle w:val="Odstavecseseznamem"/>
        <w:numPr>
          <w:ilvl w:val="0"/>
          <w:numId w:val="23"/>
        </w:numPr>
        <w:snapToGrid w:val="0"/>
        <w:spacing w:before="0" w:after="0" w:line="276" w:lineRule="auto"/>
        <w:rPr>
          <w:rFonts w:eastAsia="Montserrat Light"/>
          <w:color w:val="000000" w:themeColor="text1"/>
          <w:lang w:val="cs-CZ"/>
        </w:rPr>
      </w:pPr>
      <w:r w:rsidRPr="003F1BA4">
        <w:rPr>
          <w:rFonts w:eastAsia="Montserrat Light"/>
          <w:color w:val="000000" w:themeColor="text1"/>
          <w:lang w:val="cs-CZ"/>
        </w:rPr>
        <w:t xml:space="preserve">Na celkových výnosech CZG představovaly v první polovině letošního roku výnosy v USA podíl </w:t>
      </w:r>
      <w:r>
        <w:rPr>
          <w:color w:val="000000" w:themeColor="text1"/>
          <w:w w:val="0"/>
          <w:lang w:val="cs-CZ"/>
        </w:rPr>
        <w:t xml:space="preserve">62,5 </w:t>
      </w:r>
      <w:r w:rsidRPr="003F1BA4">
        <w:rPr>
          <w:rFonts w:eastAsia="Montserrat Light"/>
          <w:color w:val="000000" w:themeColor="text1"/>
          <w:lang w:val="cs-CZ"/>
        </w:rPr>
        <w:t xml:space="preserve">%, následovány byly </w:t>
      </w:r>
      <w:r>
        <w:rPr>
          <w:color w:val="000000" w:themeColor="text1"/>
          <w:w w:val="0"/>
          <w:lang w:val="cs-CZ"/>
        </w:rPr>
        <w:t>10,7</w:t>
      </w:r>
      <w:r w:rsidRPr="003F1BA4">
        <w:rPr>
          <w:rFonts w:eastAsia="Montserrat Light"/>
          <w:color w:val="000000" w:themeColor="text1"/>
          <w:lang w:val="cs-CZ"/>
        </w:rPr>
        <w:t xml:space="preserve">% podílem výnosů dosažených v Evropě (bez ČR). </w:t>
      </w:r>
      <w:r>
        <w:rPr>
          <w:rFonts w:eastAsia="Montserrat Light"/>
          <w:color w:val="000000" w:themeColor="text1"/>
          <w:lang w:val="cs-CZ"/>
        </w:rPr>
        <w:t>Afrika se na</w:t>
      </w:r>
      <w:r w:rsidRPr="003F1BA4">
        <w:rPr>
          <w:rFonts w:eastAsia="Montserrat Light"/>
          <w:color w:val="000000" w:themeColor="text1"/>
          <w:lang w:val="cs-CZ"/>
        </w:rPr>
        <w:t xml:space="preserve"> celkových výnosech podílela ze </w:t>
      </w:r>
      <w:r>
        <w:rPr>
          <w:color w:val="000000" w:themeColor="text1"/>
          <w:w w:val="0"/>
          <w:lang w:val="cs-CZ"/>
        </w:rPr>
        <w:t xml:space="preserve">10,5 </w:t>
      </w:r>
      <w:r w:rsidRPr="003F1BA4">
        <w:rPr>
          <w:rFonts w:eastAsia="Montserrat Light"/>
          <w:color w:val="000000" w:themeColor="text1"/>
          <w:lang w:val="cs-CZ"/>
        </w:rPr>
        <w:t xml:space="preserve">%, Asie ze </w:t>
      </w:r>
      <w:r>
        <w:rPr>
          <w:color w:val="000000" w:themeColor="text1"/>
          <w:w w:val="0"/>
          <w:lang w:val="cs-CZ"/>
        </w:rPr>
        <w:t xml:space="preserve">6,1 </w:t>
      </w:r>
      <w:r w:rsidRPr="003F1BA4">
        <w:rPr>
          <w:rFonts w:eastAsia="Montserrat Light"/>
          <w:color w:val="000000" w:themeColor="text1"/>
          <w:lang w:val="cs-CZ"/>
        </w:rPr>
        <w:t xml:space="preserve">%, </w:t>
      </w:r>
      <w:r>
        <w:rPr>
          <w:rFonts w:eastAsia="Montserrat Light"/>
          <w:color w:val="000000" w:themeColor="text1"/>
          <w:lang w:val="cs-CZ"/>
        </w:rPr>
        <w:t>Kanada</w:t>
      </w:r>
      <w:r w:rsidRPr="003F1BA4">
        <w:rPr>
          <w:rFonts w:eastAsia="Montserrat Light"/>
          <w:color w:val="000000" w:themeColor="text1"/>
          <w:lang w:val="cs-CZ"/>
        </w:rPr>
        <w:t xml:space="preserve"> dodala </w:t>
      </w:r>
      <w:r>
        <w:rPr>
          <w:color w:val="000000" w:themeColor="text1"/>
          <w:w w:val="0"/>
          <w:lang w:val="cs-CZ"/>
        </w:rPr>
        <w:t xml:space="preserve">3,3 </w:t>
      </w:r>
      <w:r w:rsidRPr="003F1BA4">
        <w:rPr>
          <w:rFonts w:eastAsia="Montserrat Light"/>
          <w:color w:val="000000" w:themeColor="text1"/>
          <w:lang w:val="cs-CZ"/>
        </w:rPr>
        <w:t>%</w:t>
      </w:r>
      <w:r>
        <w:rPr>
          <w:rFonts w:eastAsia="Montserrat Light"/>
          <w:color w:val="000000" w:themeColor="text1"/>
          <w:lang w:val="cs-CZ"/>
        </w:rPr>
        <w:t>, Česká republika 2,9 %</w:t>
      </w:r>
      <w:r w:rsidRPr="003F1BA4">
        <w:rPr>
          <w:rFonts w:eastAsia="Montserrat Light"/>
          <w:color w:val="000000" w:themeColor="text1"/>
          <w:lang w:val="cs-CZ"/>
        </w:rPr>
        <w:t xml:space="preserve"> a ostatní státy světa pak </w:t>
      </w:r>
      <w:r>
        <w:rPr>
          <w:color w:val="000000" w:themeColor="text1"/>
          <w:w w:val="0"/>
          <w:lang w:val="cs-CZ"/>
        </w:rPr>
        <w:t xml:space="preserve">4,0 </w:t>
      </w:r>
      <w:r w:rsidRPr="003F1BA4">
        <w:rPr>
          <w:rFonts w:eastAsia="Montserrat Light"/>
          <w:color w:val="000000" w:themeColor="text1"/>
          <w:lang w:val="cs-CZ"/>
        </w:rPr>
        <w:t xml:space="preserve">%. </w:t>
      </w:r>
    </w:p>
    <w:p w14:paraId="3C18FD39" w14:textId="77777777" w:rsidR="008403E1" w:rsidRPr="003D18D0" w:rsidRDefault="008403E1" w:rsidP="0071551B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2349ADA3" w14:textId="06FB532D" w:rsidR="009D1090" w:rsidRPr="00D33961" w:rsidRDefault="00F8175E" w:rsidP="0071551B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„Skupina </w:t>
      </w:r>
      <w:r w:rsidR="00D33961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CZG </w:t>
      </w:r>
      <w:r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má za sebou další rekordní pololetí</w:t>
      </w:r>
      <w:r w:rsidR="00D33961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.</w:t>
      </w:r>
      <w:r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D33961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T</w:t>
      </w:r>
      <w:r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yto finanční výsledky poprvé </w:t>
      </w:r>
      <w:r w:rsidR="00585243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reflektují</w:t>
      </w:r>
      <w:r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i hospodaření skupiny </w:t>
      </w:r>
      <w:proofErr w:type="spellStart"/>
      <w:r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Colt</w:t>
      </w:r>
      <w:proofErr w:type="spellEnd"/>
      <w:r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od data dokončení</w:t>
      </w:r>
      <w:r w:rsidR="00865346"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akvizice</w:t>
      </w:r>
      <w:r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. </w:t>
      </w:r>
      <w:r w:rsidR="006C05CD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CZG</w:t>
      </w:r>
      <w:r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739D3"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zaznamenala </w:t>
      </w:r>
      <w:r w:rsidR="00637319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také </w:t>
      </w:r>
      <w:r w:rsidR="00E739D3"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řadu obchodních úspěch</w:t>
      </w:r>
      <w:r w:rsidR="008124F2"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ů</w:t>
      </w:r>
      <w:r w:rsidR="00E739D3"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="006A6D03"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” </w:t>
      </w:r>
      <w:r w:rsidR="006A6D03" w:rsidRPr="0086534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uvedl</w:t>
      </w:r>
      <w:r w:rsidR="006A6D03"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9D1090" w:rsidRPr="00865346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Jan Drahota</w:t>
      </w:r>
      <w:r w:rsidR="009D1090" w:rsidRPr="0086534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A6D03" w:rsidRPr="00865346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prezident a předseda</w:t>
      </w:r>
      <w:r w:rsidR="009D1090" w:rsidRPr="00865346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představenstva CZG</w:t>
      </w:r>
      <w:r w:rsidR="006A6D03" w:rsidRPr="0086534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E739D3" w:rsidRPr="00865346">
        <w:rPr>
          <w:rFonts w:ascii="Calibri" w:hAnsi="Calibri" w:cs="Calibri"/>
          <w:i/>
          <w:iCs/>
          <w:sz w:val="22"/>
          <w:szCs w:val="22"/>
        </w:rPr>
        <w:t>„</w:t>
      </w:r>
      <w:r w:rsidR="00D33961">
        <w:rPr>
          <w:rFonts w:ascii="Calibri" w:hAnsi="Calibri" w:cs="Calibri"/>
          <w:i/>
          <w:iCs/>
          <w:sz w:val="22"/>
          <w:szCs w:val="22"/>
        </w:rPr>
        <w:t xml:space="preserve">Poptávka po našich produktech je i nadále vysoká a převyšuje naše současné výrobní kapacity. </w:t>
      </w:r>
      <w:r w:rsidR="00E739D3" w:rsidRPr="00865346">
        <w:rPr>
          <w:rFonts w:ascii="Calibri" w:hAnsi="Calibri" w:cs="Calibri"/>
          <w:i/>
          <w:iCs/>
          <w:sz w:val="22"/>
          <w:szCs w:val="22"/>
        </w:rPr>
        <w:t xml:space="preserve">Máme </w:t>
      </w:r>
      <w:r w:rsidR="00D33961">
        <w:rPr>
          <w:rFonts w:ascii="Calibri" w:hAnsi="Calibri" w:cs="Calibri"/>
          <w:i/>
          <w:iCs/>
          <w:sz w:val="22"/>
          <w:szCs w:val="22"/>
        </w:rPr>
        <w:t>silnou</w:t>
      </w:r>
      <w:r w:rsidR="00E739D3" w:rsidRPr="00865346">
        <w:rPr>
          <w:rFonts w:ascii="Calibri" w:hAnsi="Calibri" w:cs="Calibri"/>
          <w:i/>
          <w:iCs/>
          <w:sz w:val="22"/>
          <w:szCs w:val="22"/>
        </w:rPr>
        <w:t xml:space="preserve"> pozici na cestě k vytváření dlouhodobě udržitelných hodnot pro zaměstnance, zákazníky, obchodní partnery, akcionáře i celou </w:t>
      </w:r>
      <w:r w:rsidR="00637319">
        <w:rPr>
          <w:rFonts w:ascii="Calibri" w:hAnsi="Calibri" w:cs="Calibri"/>
          <w:i/>
          <w:iCs/>
          <w:sz w:val="22"/>
          <w:szCs w:val="22"/>
        </w:rPr>
        <w:t>s</w:t>
      </w:r>
      <w:r w:rsidR="00E739D3" w:rsidRPr="00865346">
        <w:rPr>
          <w:rFonts w:ascii="Calibri" w:hAnsi="Calibri" w:cs="Calibri"/>
          <w:i/>
          <w:iCs/>
          <w:sz w:val="22"/>
          <w:szCs w:val="22"/>
        </w:rPr>
        <w:t>polečnost</w:t>
      </w:r>
      <w:r w:rsidR="00EA78FE"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="009D1090" w:rsidRPr="00865346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”</w:t>
      </w:r>
      <w:r w:rsidR="006A6D03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A6D03" w:rsidRPr="006A6D03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dodal.</w:t>
      </w:r>
    </w:p>
    <w:p w14:paraId="3D573149" w14:textId="77777777" w:rsidR="003F1BA4" w:rsidRPr="009C68C2" w:rsidRDefault="003F1BA4" w:rsidP="0071551B">
      <w:pPr>
        <w:spacing w:line="276" w:lineRule="auto"/>
        <w:jc w:val="both"/>
      </w:pPr>
    </w:p>
    <w:p w14:paraId="53CA2508" w14:textId="027FD462" w:rsidR="00420D42" w:rsidRPr="00B566FE" w:rsidRDefault="00835741" w:rsidP="0071551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Hlk83659654"/>
      <w:r w:rsidRPr="00420D42">
        <w:rPr>
          <w:rFonts w:ascii="Calibri" w:hAnsi="Calibri" w:cs="Calibri"/>
          <w:sz w:val="22"/>
          <w:szCs w:val="22"/>
        </w:rPr>
        <w:lastRenderedPageBreak/>
        <w:t xml:space="preserve">Z pohledu regionálního rozložení </w:t>
      </w:r>
      <w:r w:rsidR="00F82940" w:rsidRPr="00420D42">
        <w:rPr>
          <w:rFonts w:ascii="Calibri" w:hAnsi="Calibri" w:cs="Calibri"/>
          <w:sz w:val="22"/>
          <w:szCs w:val="22"/>
        </w:rPr>
        <w:t>se k</w:t>
      </w:r>
      <w:r w:rsidRPr="00420D42">
        <w:rPr>
          <w:rFonts w:ascii="Calibri" w:hAnsi="Calibri" w:cs="Calibri"/>
          <w:sz w:val="22"/>
          <w:szCs w:val="22"/>
        </w:rPr>
        <w:t>e</w:t>
      </w:r>
      <w:r w:rsidR="00F82940" w:rsidRPr="00420D42">
        <w:rPr>
          <w:rFonts w:ascii="Calibri" w:hAnsi="Calibri" w:cs="Calibri"/>
          <w:sz w:val="22"/>
          <w:szCs w:val="22"/>
        </w:rPr>
        <w:t xml:space="preserve"> 30. červnu 2021 výnosy v ČR snížily o 56,2 %, na 135,1 </w:t>
      </w:r>
      <w:r w:rsidR="00420D42">
        <w:rPr>
          <w:rFonts w:ascii="Calibri" w:hAnsi="Calibri" w:cs="Calibri"/>
          <w:sz w:val="22"/>
          <w:szCs w:val="22"/>
        </w:rPr>
        <w:t>milionu</w:t>
      </w:r>
      <w:r w:rsidR="00F82940" w:rsidRPr="00420D42">
        <w:rPr>
          <w:rFonts w:ascii="Calibri" w:hAnsi="Calibri" w:cs="Calibri"/>
          <w:sz w:val="22"/>
          <w:szCs w:val="22"/>
        </w:rPr>
        <w:t xml:space="preserve"> Kč. </w:t>
      </w:r>
      <w:r w:rsidRPr="00420D42">
        <w:rPr>
          <w:rFonts w:ascii="Calibri" w:hAnsi="Calibri" w:cs="Calibri"/>
          <w:sz w:val="22"/>
          <w:szCs w:val="22"/>
        </w:rPr>
        <w:t xml:space="preserve">Česká republika tak představuje na celkových výnosech podíl 2,9 %. </w:t>
      </w:r>
      <w:r w:rsidR="00F82940" w:rsidRPr="00420D42">
        <w:rPr>
          <w:rFonts w:ascii="Calibri" w:hAnsi="Calibri" w:cs="Calibri"/>
          <w:sz w:val="22"/>
          <w:szCs w:val="22"/>
        </w:rPr>
        <w:t>Tento výsledek byl způsoben zejména mírným odkladem dodávek Armádě ČR</w:t>
      </w:r>
      <w:r w:rsidR="0079449F">
        <w:rPr>
          <w:rFonts w:ascii="Calibri" w:hAnsi="Calibri" w:cs="Calibri"/>
          <w:sz w:val="22"/>
          <w:szCs w:val="22"/>
        </w:rPr>
        <w:t xml:space="preserve">, </w:t>
      </w:r>
      <w:r w:rsidR="00F8175E">
        <w:rPr>
          <w:rFonts w:ascii="Calibri" w:hAnsi="Calibri" w:cs="Calibri"/>
          <w:sz w:val="22"/>
          <w:szCs w:val="22"/>
        </w:rPr>
        <w:t>realizaci dodávek pod rámcovou smlouvou Společnosti očekává ve druhé polovině tohoto roku</w:t>
      </w:r>
      <w:r w:rsidRPr="00420D42">
        <w:rPr>
          <w:rFonts w:ascii="Calibri" w:hAnsi="Calibri" w:cs="Calibri"/>
          <w:sz w:val="22"/>
          <w:szCs w:val="22"/>
        </w:rPr>
        <w:t xml:space="preserve">. </w:t>
      </w:r>
      <w:r w:rsidR="00F82940" w:rsidRPr="00420D42">
        <w:rPr>
          <w:rFonts w:ascii="Calibri" w:hAnsi="Calibri" w:cs="Calibri"/>
          <w:sz w:val="22"/>
          <w:szCs w:val="22"/>
        </w:rPr>
        <w:t xml:space="preserve">Výnosy z prodejů ve Spojených státech vzrostly v prvním pololetí 2021 meziročně o 26,5 %, na 2 957,4 </w:t>
      </w:r>
      <w:r w:rsidR="00420D42">
        <w:rPr>
          <w:rFonts w:ascii="Calibri" w:hAnsi="Calibri" w:cs="Calibri"/>
          <w:sz w:val="22"/>
          <w:szCs w:val="22"/>
        </w:rPr>
        <w:t>milionu</w:t>
      </w:r>
      <w:r w:rsidR="00F82940" w:rsidRPr="00420D42">
        <w:rPr>
          <w:rFonts w:ascii="Calibri" w:hAnsi="Calibri" w:cs="Calibri"/>
          <w:sz w:val="22"/>
          <w:szCs w:val="22"/>
        </w:rPr>
        <w:t xml:space="preserve"> Kč</w:t>
      </w:r>
      <w:r w:rsidRPr="00420D42">
        <w:rPr>
          <w:rFonts w:ascii="Calibri" w:hAnsi="Calibri" w:cs="Calibri"/>
          <w:sz w:val="22"/>
          <w:szCs w:val="22"/>
        </w:rPr>
        <w:t xml:space="preserve">, a to </w:t>
      </w:r>
      <w:r w:rsidR="00F82940" w:rsidRPr="00420D42">
        <w:rPr>
          <w:rFonts w:ascii="Calibri" w:hAnsi="Calibri" w:cs="Calibri"/>
          <w:sz w:val="22"/>
          <w:szCs w:val="22"/>
        </w:rPr>
        <w:t>především díky nárůstu poptávky na komerčním trhu a konsolidovaný</w:t>
      </w:r>
      <w:r w:rsidR="00473BC0">
        <w:rPr>
          <w:rFonts w:ascii="Calibri" w:hAnsi="Calibri" w:cs="Calibri"/>
          <w:sz w:val="22"/>
          <w:szCs w:val="22"/>
        </w:rPr>
        <w:t>m</w:t>
      </w:r>
      <w:r w:rsidR="00F82940" w:rsidRPr="00420D42">
        <w:rPr>
          <w:rFonts w:ascii="Calibri" w:hAnsi="Calibri" w:cs="Calibri"/>
          <w:sz w:val="22"/>
          <w:szCs w:val="22"/>
        </w:rPr>
        <w:t xml:space="preserve"> výnos</w:t>
      </w:r>
      <w:r w:rsidR="00473BC0">
        <w:rPr>
          <w:rFonts w:ascii="Calibri" w:hAnsi="Calibri" w:cs="Calibri"/>
          <w:sz w:val="22"/>
          <w:szCs w:val="22"/>
        </w:rPr>
        <w:t>ům</w:t>
      </w:r>
      <w:r w:rsidR="00F82940" w:rsidRPr="00420D4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82940" w:rsidRPr="00420D42">
        <w:rPr>
          <w:rFonts w:ascii="Calibri" w:hAnsi="Calibri" w:cs="Calibri"/>
          <w:sz w:val="22"/>
          <w:szCs w:val="22"/>
        </w:rPr>
        <w:t>Coltu</w:t>
      </w:r>
      <w:proofErr w:type="spellEnd"/>
      <w:r w:rsidR="00F82940" w:rsidRPr="00420D42">
        <w:rPr>
          <w:rFonts w:ascii="Calibri" w:hAnsi="Calibri" w:cs="Calibri"/>
          <w:sz w:val="22"/>
          <w:szCs w:val="22"/>
        </w:rPr>
        <w:t xml:space="preserve"> v USA. </w:t>
      </w:r>
      <w:r w:rsidR="00420D42">
        <w:rPr>
          <w:rFonts w:ascii="Calibri" w:hAnsi="Calibri" w:cs="Calibri"/>
          <w:sz w:val="22"/>
          <w:szCs w:val="22"/>
        </w:rPr>
        <w:t xml:space="preserve">USA se tak na celkových výnosech za první pololetí letošního roku podílí z 62,5 %. Díky akvizici </w:t>
      </w:r>
      <w:proofErr w:type="spellStart"/>
      <w:r w:rsidR="00420D42">
        <w:rPr>
          <w:rFonts w:ascii="Calibri" w:hAnsi="Calibri" w:cs="Calibri"/>
          <w:sz w:val="22"/>
          <w:szCs w:val="22"/>
        </w:rPr>
        <w:t>Coltu</w:t>
      </w:r>
      <w:proofErr w:type="spellEnd"/>
      <w:r w:rsidR="00420D42">
        <w:rPr>
          <w:rFonts w:ascii="Calibri" w:hAnsi="Calibri" w:cs="Calibri"/>
          <w:sz w:val="22"/>
          <w:szCs w:val="22"/>
        </w:rPr>
        <w:t xml:space="preserve"> skupina CZG také začala nově vykazovat výnosy realizované v Kanadě. </w:t>
      </w:r>
      <w:r w:rsidR="00420D42" w:rsidRPr="00B566FE">
        <w:rPr>
          <w:rFonts w:ascii="Calibri" w:hAnsi="Calibri" w:cs="Calibri"/>
          <w:sz w:val="22"/>
          <w:szCs w:val="22"/>
        </w:rPr>
        <w:t xml:space="preserve">Ty </w:t>
      </w:r>
      <w:r w:rsidR="0079449F">
        <w:rPr>
          <w:rFonts w:ascii="Calibri" w:hAnsi="Calibri" w:cs="Calibri"/>
          <w:sz w:val="22"/>
          <w:szCs w:val="22"/>
        </w:rPr>
        <w:t>za</w:t>
      </w:r>
      <w:r w:rsidR="00420D42" w:rsidRPr="00B566FE">
        <w:rPr>
          <w:rFonts w:ascii="Calibri" w:hAnsi="Calibri" w:cs="Calibri"/>
          <w:sz w:val="22"/>
          <w:szCs w:val="22"/>
        </w:rPr>
        <w:t> prvních šest</w:t>
      </w:r>
      <w:r w:rsidR="0079449F">
        <w:rPr>
          <w:rFonts w:ascii="Calibri" w:hAnsi="Calibri" w:cs="Calibri"/>
          <w:sz w:val="22"/>
          <w:szCs w:val="22"/>
        </w:rPr>
        <w:t xml:space="preserve"> </w:t>
      </w:r>
      <w:r w:rsidR="00420D42" w:rsidRPr="00B566FE">
        <w:rPr>
          <w:rFonts w:ascii="Calibri" w:hAnsi="Calibri" w:cs="Calibri"/>
          <w:sz w:val="22"/>
          <w:szCs w:val="22"/>
        </w:rPr>
        <w:t>měsíc</w:t>
      </w:r>
      <w:r w:rsidR="0079449F">
        <w:rPr>
          <w:rFonts w:ascii="Calibri" w:hAnsi="Calibri" w:cs="Calibri"/>
          <w:sz w:val="22"/>
          <w:szCs w:val="22"/>
        </w:rPr>
        <w:t>ů</w:t>
      </w:r>
      <w:r w:rsidR="00420D42" w:rsidRPr="00B566FE">
        <w:rPr>
          <w:rFonts w:ascii="Calibri" w:hAnsi="Calibri" w:cs="Calibri"/>
          <w:sz w:val="22"/>
          <w:szCs w:val="22"/>
        </w:rPr>
        <w:t xml:space="preserve"> letošního roku dosáhly 156,6 milionu Kč, což je meziročně o 150,3 % více, a Kanada tak tvoří 3,3 % výnosů Skupiny.</w:t>
      </w:r>
    </w:p>
    <w:bookmarkEnd w:id="0"/>
    <w:p w14:paraId="49A2B40B" w14:textId="77777777" w:rsidR="00835741" w:rsidRPr="00B566FE" w:rsidRDefault="00835741" w:rsidP="0071551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510DFB" w14:textId="126B3D08" w:rsidR="00420D42" w:rsidRDefault="00420D42" w:rsidP="0071551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66FE">
        <w:rPr>
          <w:rFonts w:ascii="Calibri" w:hAnsi="Calibri" w:cs="Calibri"/>
          <w:sz w:val="22"/>
          <w:szCs w:val="22"/>
        </w:rPr>
        <w:t xml:space="preserve">V Evropě (vyjma ČR) se v prvním pololetí výnosy meziročně zvýšily o 77,8 % na 507,2 milionu Kč, zejména v důsledku nárůstu prodejů v zemích střední a východní Evropy. </w:t>
      </w:r>
      <w:r w:rsidR="0079449F">
        <w:rPr>
          <w:rFonts w:ascii="Calibri" w:hAnsi="Calibri" w:cs="Calibri"/>
          <w:sz w:val="22"/>
          <w:szCs w:val="22"/>
        </w:rPr>
        <w:t xml:space="preserve">Evropa se tak </w:t>
      </w:r>
      <w:r w:rsidR="00B566FE" w:rsidRPr="00B566FE">
        <w:rPr>
          <w:rFonts w:ascii="Calibri" w:hAnsi="Calibri" w:cs="Calibri"/>
          <w:sz w:val="22"/>
          <w:szCs w:val="22"/>
        </w:rPr>
        <w:t>podíl</w:t>
      </w:r>
      <w:r w:rsidR="0079449F">
        <w:rPr>
          <w:rFonts w:ascii="Calibri" w:hAnsi="Calibri" w:cs="Calibri"/>
          <w:sz w:val="22"/>
          <w:szCs w:val="22"/>
        </w:rPr>
        <w:t xml:space="preserve">í na celkových výnosech z </w:t>
      </w:r>
      <w:r w:rsidR="00B566FE" w:rsidRPr="00B566FE">
        <w:rPr>
          <w:rFonts w:ascii="Calibri" w:hAnsi="Calibri" w:cs="Calibri"/>
          <w:sz w:val="22"/>
          <w:szCs w:val="22"/>
        </w:rPr>
        <w:t xml:space="preserve">10,7 %. Afrika pak představuje podíl 10,5 %. </w:t>
      </w:r>
      <w:r w:rsidRPr="00B566FE">
        <w:rPr>
          <w:rFonts w:ascii="Calibri" w:hAnsi="Calibri" w:cs="Calibri"/>
          <w:sz w:val="22"/>
          <w:szCs w:val="22"/>
        </w:rPr>
        <w:t>Díky dodávkám zákazníkům z řad ozbrojených složek vzrostly</w:t>
      </w:r>
      <w:r w:rsidR="00B566FE" w:rsidRPr="00B566FE">
        <w:rPr>
          <w:rFonts w:ascii="Calibri" w:hAnsi="Calibri" w:cs="Calibri"/>
          <w:sz w:val="22"/>
          <w:szCs w:val="22"/>
        </w:rPr>
        <w:t xml:space="preserve"> </w:t>
      </w:r>
      <w:r w:rsidRPr="00B566FE">
        <w:rPr>
          <w:rFonts w:ascii="Calibri" w:hAnsi="Calibri" w:cs="Calibri"/>
          <w:sz w:val="22"/>
          <w:szCs w:val="22"/>
        </w:rPr>
        <w:t xml:space="preserve">výnosy v Africe v prvním pololetí meziročně o 307,4 % na 496,8 milionu Kč, v Asii pak díky zákazníkům z řad ozbrojených složek i komerčním zákazníkům o 45,3 % na 288,3 milionu Kč. </w:t>
      </w:r>
      <w:r w:rsidR="00B566FE" w:rsidRPr="00B566FE">
        <w:rPr>
          <w:rFonts w:ascii="Calibri" w:hAnsi="Calibri" w:cs="Calibri"/>
          <w:sz w:val="22"/>
          <w:szCs w:val="22"/>
        </w:rPr>
        <w:t xml:space="preserve">Asie tak představuje z celkových výnosů Skupiny 6,1 %, ostatní země pak 4,0 %. </w:t>
      </w:r>
    </w:p>
    <w:p w14:paraId="4A3379AD" w14:textId="33CFCF9E" w:rsidR="00A4135B" w:rsidRDefault="00A4135B" w:rsidP="0071551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311782C" w14:textId="10092594" w:rsidR="00A4135B" w:rsidRPr="00A4135B" w:rsidRDefault="00A4135B" w:rsidP="0071551B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A4135B">
        <w:rPr>
          <w:rFonts w:ascii="Calibri" w:eastAsiaTheme="minorHAnsi" w:hAnsi="Calibri" w:cs="Calibri"/>
          <w:sz w:val="22"/>
          <w:szCs w:val="22"/>
          <w:lang w:eastAsia="en-US"/>
        </w:rPr>
        <w:t xml:space="preserve">Vzhledem k příznivému vývoji hospodaření CZG k datu této zprávy management </w:t>
      </w:r>
      <w:r w:rsidR="00752289">
        <w:rPr>
          <w:rFonts w:ascii="Calibri" w:eastAsiaTheme="minorHAnsi" w:hAnsi="Calibri" w:cs="Calibri"/>
          <w:sz w:val="22"/>
          <w:szCs w:val="22"/>
          <w:lang w:eastAsia="en-US"/>
        </w:rPr>
        <w:t xml:space="preserve">potvrzuje </w:t>
      </w:r>
      <w:r w:rsidR="004E4186">
        <w:rPr>
          <w:rFonts w:ascii="Calibri" w:eastAsiaTheme="minorHAnsi" w:hAnsi="Calibri" w:cs="Calibri"/>
          <w:sz w:val="22"/>
          <w:szCs w:val="22"/>
          <w:lang w:eastAsia="en-US"/>
        </w:rPr>
        <w:t>výhled hospodaření komunikovaný během druhého čtvrtletí 2021.</w:t>
      </w:r>
      <w:r w:rsidR="0062383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A4135B">
        <w:rPr>
          <w:rFonts w:ascii="Calibri" w:eastAsiaTheme="minorHAnsi" w:hAnsi="Calibri" w:cs="Calibri"/>
          <w:sz w:val="22"/>
          <w:szCs w:val="22"/>
          <w:lang w:eastAsia="en-US"/>
        </w:rPr>
        <w:t xml:space="preserve">Celkové výnosy skupiny CZG </w:t>
      </w:r>
      <w:r w:rsidR="00A7556D">
        <w:rPr>
          <w:rFonts w:ascii="Calibri" w:eastAsiaTheme="minorHAnsi" w:hAnsi="Calibri" w:cs="Calibri"/>
          <w:sz w:val="22"/>
          <w:szCs w:val="22"/>
          <w:lang w:eastAsia="en-US"/>
        </w:rPr>
        <w:t xml:space="preserve">by </w:t>
      </w:r>
      <w:r w:rsidR="009E7106">
        <w:rPr>
          <w:rFonts w:ascii="Calibri" w:eastAsiaTheme="minorHAnsi" w:hAnsi="Calibri" w:cs="Calibri"/>
          <w:sz w:val="22"/>
          <w:szCs w:val="22"/>
          <w:lang w:eastAsia="en-US"/>
        </w:rPr>
        <w:t>se měl</w:t>
      </w:r>
      <w:r w:rsidR="00623830">
        <w:rPr>
          <w:rFonts w:ascii="Calibri" w:eastAsiaTheme="minorHAnsi" w:hAnsi="Calibri" w:cs="Calibri"/>
          <w:sz w:val="22"/>
          <w:szCs w:val="22"/>
          <w:lang w:eastAsia="en-US"/>
        </w:rPr>
        <w:t>y</w:t>
      </w:r>
      <w:r w:rsidR="009E7106">
        <w:rPr>
          <w:rFonts w:ascii="Calibri" w:eastAsiaTheme="minorHAnsi" w:hAnsi="Calibri" w:cs="Calibri"/>
          <w:sz w:val="22"/>
          <w:szCs w:val="22"/>
          <w:lang w:eastAsia="en-US"/>
        </w:rPr>
        <w:t xml:space="preserve"> pohybovat v rozmezí </w:t>
      </w:r>
      <w:r w:rsidRPr="00A4135B">
        <w:rPr>
          <w:rFonts w:ascii="Calibri" w:eastAsiaTheme="minorHAnsi" w:hAnsi="Calibri" w:cs="Calibri"/>
          <w:sz w:val="22"/>
          <w:szCs w:val="22"/>
          <w:lang w:eastAsia="en-US"/>
        </w:rPr>
        <w:t xml:space="preserve">10,34–10,64 miliard Kč. Očekávaná výše ukazatele EBITDA by mohla dosáhnout v roce 2021 1,99–2,19 miliardy Kč. </w:t>
      </w:r>
    </w:p>
    <w:p w14:paraId="2005F3B4" w14:textId="77777777" w:rsidR="00A4135B" w:rsidRPr="00A4135B" w:rsidRDefault="00A4135B" w:rsidP="0071551B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65CBE35" w14:textId="7D0360A1" w:rsidR="00A4135B" w:rsidRPr="00A4135B" w:rsidRDefault="00A4135B" w:rsidP="0071551B">
      <w:pPr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A4135B">
        <w:rPr>
          <w:rFonts w:ascii="Calibri" w:eastAsiaTheme="minorHAnsi" w:hAnsi="Calibri" w:cs="Calibri"/>
          <w:sz w:val="22"/>
          <w:szCs w:val="22"/>
          <w:lang w:eastAsia="en-US"/>
        </w:rPr>
        <w:t>Hlavní výzvou Společnosti zůstává schopnost nasytit celosvětově silnou poptávku jak z hlediska vlastních výrobních kapacit, tak z hlediska kapacit a možností ze strany dodavatelů, což je ovlivněno řadou faktorů</w:t>
      </w:r>
      <w:r w:rsidR="00473BC0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Pr="00A4135B">
        <w:rPr>
          <w:rFonts w:ascii="Calibri" w:eastAsiaTheme="minorHAnsi" w:hAnsi="Calibri" w:cs="Calibri"/>
          <w:sz w:val="22"/>
          <w:szCs w:val="22"/>
          <w:lang w:eastAsia="en-US"/>
        </w:rPr>
        <w:t xml:space="preserve"> včetně přetrvávající napjaté situace kolem covid-19. </w:t>
      </w:r>
    </w:p>
    <w:p w14:paraId="1FFC020A" w14:textId="77777777" w:rsidR="008B05D0" w:rsidRDefault="008B05D0" w:rsidP="0071551B">
      <w:pPr>
        <w:snapToGri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107E23A8" w14:textId="77777777" w:rsidR="00EA78FE" w:rsidRDefault="00EA78FE" w:rsidP="0071551B">
      <w:pPr>
        <w:snapToGri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45F0157" w14:textId="49BA7097" w:rsidR="00E7167E" w:rsidRDefault="00E7167E" w:rsidP="0071551B">
      <w:pPr>
        <w:snapToGri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 w:rsidRPr="00D86A6D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O společnosti CZG – Česká zbrojovka Group SE</w:t>
      </w:r>
    </w:p>
    <w:p w14:paraId="3BE17792" w14:textId="77777777" w:rsidR="00C21A75" w:rsidRPr="00D86A6D" w:rsidRDefault="00C21A75" w:rsidP="0071551B">
      <w:pPr>
        <w:snapToGri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40DEC40F" w14:textId="02023593" w:rsidR="00473BC0" w:rsidRPr="008B05D0" w:rsidRDefault="00E7167E" w:rsidP="0071551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86A6D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CZG – Česká zbrojovka Group je společně se svými dceřinými společnostmi jedním z předních </w:t>
      </w:r>
      <w:r w:rsidR="008B05D0" w:rsidRPr="008B05D0">
        <w:rPr>
          <w:rFonts w:ascii="Calibri" w:hAnsi="Calibri" w:cs="Calibri"/>
          <w:color w:val="000000" w:themeColor="text1"/>
          <w:sz w:val="22"/>
          <w:szCs w:val="22"/>
        </w:rPr>
        <w:t>světových</w:t>
      </w:r>
      <w:r w:rsidRPr="008B05D0">
        <w:rPr>
          <w:rFonts w:ascii="Calibri" w:hAnsi="Calibri" w:cs="Calibri"/>
          <w:color w:val="000000" w:themeColor="text1"/>
          <w:sz w:val="22"/>
          <w:szCs w:val="22"/>
        </w:rPr>
        <w:t xml:space="preserve"> výrobců ručních palných zbraní pro ozbrojené složky, osobní obranu, lov, sportovní střelbu a další </w:t>
      </w:r>
      <w:r w:rsidR="008B05D0" w:rsidRPr="008B05D0">
        <w:rPr>
          <w:rFonts w:ascii="Calibri" w:hAnsi="Calibri" w:cs="Calibri"/>
          <w:color w:val="000000" w:themeColor="text1"/>
          <w:sz w:val="22"/>
          <w:szCs w:val="22"/>
        </w:rPr>
        <w:t>komerční</w:t>
      </w:r>
      <w:r w:rsidRPr="008B05D0">
        <w:rPr>
          <w:rFonts w:ascii="Calibri" w:hAnsi="Calibri" w:cs="Calibri"/>
          <w:color w:val="000000" w:themeColor="text1"/>
          <w:sz w:val="22"/>
          <w:szCs w:val="22"/>
        </w:rPr>
        <w:t xml:space="preserve"> využití. </w:t>
      </w:r>
      <w:r w:rsidR="008B05D0" w:rsidRPr="008B05D0">
        <w:rPr>
          <w:rFonts w:ascii="Calibri" w:hAnsi="Calibri" w:cs="Calibri"/>
          <w:color w:val="000000" w:themeColor="text1"/>
          <w:sz w:val="22"/>
          <w:szCs w:val="22"/>
        </w:rPr>
        <w:t xml:space="preserve">Své produkty prodává především pod značkami </w:t>
      </w:r>
      <w:r w:rsidR="008B05D0" w:rsidRPr="008B05D0">
        <w:rPr>
          <w:rFonts w:ascii="Calibri" w:hAnsi="Calibri" w:cs="Calibri"/>
          <w:color w:val="000000"/>
          <w:sz w:val="22"/>
          <w:szCs w:val="22"/>
        </w:rPr>
        <w:t xml:space="preserve">CZ (Česká zbrojovka), </w:t>
      </w:r>
      <w:proofErr w:type="spellStart"/>
      <w:r w:rsidR="008B05D0" w:rsidRPr="008B05D0">
        <w:rPr>
          <w:rFonts w:ascii="Calibri" w:hAnsi="Calibri" w:cs="Calibri"/>
          <w:color w:val="000000"/>
          <w:sz w:val="22"/>
          <w:szCs w:val="22"/>
        </w:rPr>
        <w:t>Colt</w:t>
      </w:r>
      <w:proofErr w:type="spellEnd"/>
      <w:r w:rsidR="008B05D0" w:rsidRPr="008B05D0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="008B05D0" w:rsidRPr="008B05D0">
        <w:rPr>
          <w:rFonts w:ascii="Calibri" w:hAnsi="Calibri" w:cs="Calibri"/>
          <w:color w:val="000000"/>
          <w:sz w:val="22"/>
          <w:szCs w:val="22"/>
        </w:rPr>
        <w:t>Colt</w:t>
      </w:r>
      <w:proofErr w:type="spellEnd"/>
      <w:r w:rsidR="008B05D0" w:rsidRPr="008B05D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8B05D0" w:rsidRPr="008B05D0">
        <w:rPr>
          <w:rFonts w:ascii="Calibri" w:hAnsi="Calibri" w:cs="Calibri"/>
          <w:color w:val="000000"/>
          <w:sz w:val="22"/>
          <w:szCs w:val="22"/>
        </w:rPr>
        <w:t>Canada</w:t>
      </w:r>
      <w:proofErr w:type="spellEnd"/>
      <w:r w:rsidR="008B05D0" w:rsidRPr="008B05D0">
        <w:rPr>
          <w:rFonts w:ascii="Calibri" w:hAnsi="Calibri" w:cs="Calibri"/>
          <w:color w:val="000000"/>
          <w:sz w:val="22"/>
          <w:szCs w:val="22"/>
        </w:rPr>
        <w:t xml:space="preserve">, CZ-USA, Dan </w:t>
      </w:r>
      <w:proofErr w:type="spellStart"/>
      <w:r w:rsidR="008B05D0" w:rsidRPr="008B05D0">
        <w:rPr>
          <w:rFonts w:ascii="Calibri" w:hAnsi="Calibri" w:cs="Calibri"/>
          <w:color w:val="000000"/>
          <w:sz w:val="22"/>
          <w:szCs w:val="22"/>
        </w:rPr>
        <w:t>Wesson</w:t>
      </w:r>
      <w:proofErr w:type="spellEnd"/>
      <w:r w:rsidR="008B05D0" w:rsidRPr="008B05D0">
        <w:rPr>
          <w:rFonts w:ascii="Calibri" w:hAnsi="Calibri" w:cs="Calibri"/>
          <w:color w:val="000000"/>
          <w:sz w:val="22"/>
          <w:szCs w:val="22"/>
        </w:rPr>
        <w:t xml:space="preserve">, Brno </w:t>
      </w:r>
      <w:proofErr w:type="spellStart"/>
      <w:r w:rsidR="008B05D0" w:rsidRPr="008B05D0">
        <w:rPr>
          <w:rFonts w:ascii="Calibri" w:hAnsi="Calibri" w:cs="Calibri"/>
          <w:color w:val="000000"/>
          <w:sz w:val="22"/>
          <w:szCs w:val="22"/>
        </w:rPr>
        <w:t>Rifles</w:t>
      </w:r>
      <w:proofErr w:type="spellEnd"/>
      <w:r w:rsidR="008B05D0" w:rsidRPr="008B05D0">
        <w:rPr>
          <w:rFonts w:ascii="Calibri" w:hAnsi="Calibri" w:cs="Calibri"/>
          <w:color w:val="000000"/>
          <w:sz w:val="22"/>
          <w:szCs w:val="22"/>
        </w:rPr>
        <w:t xml:space="preserve"> a 4M Systems. </w:t>
      </w:r>
      <w:r w:rsidR="00473BC0" w:rsidRPr="00473BC0">
        <w:rPr>
          <w:rFonts w:ascii="Calibri" w:hAnsi="Calibri" w:cs="Calibri"/>
          <w:sz w:val="22"/>
          <w:szCs w:val="22"/>
        </w:rPr>
        <w:t xml:space="preserve">Součástí skupiny CZG jsou společnosti Česká zbrojovka, </w:t>
      </w:r>
      <w:proofErr w:type="spellStart"/>
      <w:r w:rsidR="00473BC0" w:rsidRPr="00473BC0">
        <w:rPr>
          <w:rFonts w:ascii="Calibri" w:hAnsi="Calibri" w:cs="Calibri"/>
          <w:sz w:val="22"/>
          <w:szCs w:val="22"/>
        </w:rPr>
        <w:t>Colt</w:t>
      </w:r>
      <w:proofErr w:type="spellEnd"/>
      <w:r w:rsidR="00473BC0" w:rsidRPr="00473B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3BC0" w:rsidRPr="00473BC0">
        <w:rPr>
          <w:rFonts w:ascii="Calibri" w:hAnsi="Calibri" w:cs="Calibri"/>
          <w:sz w:val="22"/>
          <w:szCs w:val="22"/>
        </w:rPr>
        <w:t>Manufacturing</w:t>
      </w:r>
      <w:proofErr w:type="spellEnd"/>
      <w:r w:rsidR="00473BC0" w:rsidRPr="00473B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3BC0" w:rsidRPr="00473BC0">
        <w:rPr>
          <w:rFonts w:ascii="Calibri" w:hAnsi="Calibri" w:cs="Calibri"/>
          <w:sz w:val="22"/>
          <w:szCs w:val="22"/>
        </w:rPr>
        <w:t>Company</w:t>
      </w:r>
      <w:proofErr w:type="spellEnd"/>
      <w:r w:rsidR="00473BC0" w:rsidRPr="00473BC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473BC0" w:rsidRPr="00473BC0">
        <w:rPr>
          <w:rFonts w:ascii="Calibri" w:hAnsi="Calibri" w:cs="Calibri"/>
          <w:sz w:val="22"/>
          <w:szCs w:val="22"/>
        </w:rPr>
        <w:t>Colt</w:t>
      </w:r>
      <w:proofErr w:type="spellEnd"/>
      <w:r w:rsidR="00473BC0" w:rsidRPr="00473B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3BC0" w:rsidRPr="00473BC0">
        <w:rPr>
          <w:rFonts w:ascii="Calibri" w:hAnsi="Calibri" w:cs="Calibri"/>
          <w:sz w:val="22"/>
          <w:szCs w:val="22"/>
        </w:rPr>
        <w:t>Canada</w:t>
      </w:r>
      <w:proofErr w:type="spellEnd"/>
      <w:r w:rsidR="00473BC0" w:rsidRPr="00473BC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3BC0" w:rsidRPr="00473BC0">
        <w:rPr>
          <w:rFonts w:ascii="Calibri" w:hAnsi="Calibri" w:cs="Calibri"/>
          <w:sz w:val="22"/>
          <w:szCs w:val="22"/>
        </w:rPr>
        <w:t>Corporation</w:t>
      </w:r>
      <w:proofErr w:type="spellEnd"/>
      <w:r w:rsidR="00473BC0" w:rsidRPr="00473BC0">
        <w:rPr>
          <w:rFonts w:ascii="Calibri" w:hAnsi="Calibri" w:cs="Calibri"/>
          <w:sz w:val="22"/>
          <w:szCs w:val="22"/>
        </w:rPr>
        <w:t xml:space="preserve">, CZ-USA, Brno </w:t>
      </w:r>
      <w:proofErr w:type="spellStart"/>
      <w:r w:rsidR="00473BC0" w:rsidRPr="00473BC0">
        <w:rPr>
          <w:rFonts w:ascii="Calibri" w:hAnsi="Calibri" w:cs="Calibri"/>
          <w:sz w:val="22"/>
          <w:szCs w:val="22"/>
        </w:rPr>
        <w:t>Rifles</w:t>
      </w:r>
      <w:proofErr w:type="spellEnd"/>
      <w:r w:rsidR="00473BC0" w:rsidRPr="00473BC0">
        <w:rPr>
          <w:rFonts w:ascii="Calibri" w:hAnsi="Calibri" w:cs="Calibri"/>
          <w:sz w:val="22"/>
          <w:szCs w:val="22"/>
        </w:rPr>
        <w:t xml:space="preserve">, 4M Systems a CZ Export. CZG rovněž drží menšinový podíl ve švédském výrobci optických montážních řešení pro zbraně, společnosti </w:t>
      </w:r>
      <w:proofErr w:type="spellStart"/>
      <w:r w:rsidR="00473BC0" w:rsidRPr="00473BC0">
        <w:rPr>
          <w:rFonts w:ascii="Calibri" w:hAnsi="Calibri" w:cs="Calibri"/>
          <w:sz w:val="22"/>
          <w:szCs w:val="22"/>
        </w:rPr>
        <w:t>Spuhr</w:t>
      </w:r>
      <w:proofErr w:type="spellEnd"/>
      <w:r w:rsidR="00473BC0" w:rsidRPr="00473BC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="00473BC0" w:rsidRPr="00473BC0">
        <w:rPr>
          <w:rFonts w:ascii="Calibri" w:hAnsi="Calibri" w:cs="Calibri"/>
          <w:sz w:val="22"/>
          <w:szCs w:val="22"/>
        </w:rPr>
        <w:t>Dalby</w:t>
      </w:r>
      <w:proofErr w:type="spellEnd"/>
      <w:r w:rsidR="00473BC0" w:rsidRPr="00473BC0">
        <w:rPr>
          <w:rFonts w:ascii="Calibri" w:hAnsi="Calibri" w:cs="Calibri"/>
          <w:sz w:val="22"/>
          <w:szCs w:val="22"/>
        </w:rPr>
        <w:t>.</w:t>
      </w:r>
    </w:p>
    <w:p w14:paraId="60F322C7" w14:textId="4EBDD159" w:rsidR="00C21A75" w:rsidRPr="00D86A6D" w:rsidRDefault="00C21A75" w:rsidP="0071551B">
      <w:pPr>
        <w:snapToGri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</w:p>
    <w:p w14:paraId="6052B357" w14:textId="1C2EA8D5" w:rsidR="00E739D3" w:rsidRDefault="008B05D0" w:rsidP="00EA78FE">
      <w:pPr>
        <w:spacing w:line="276" w:lineRule="auto"/>
        <w:jc w:val="both"/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</w:pPr>
      <w:r w:rsidRPr="008B05D0">
        <w:rPr>
          <w:rFonts w:ascii="Calibri" w:hAnsi="Calibri" w:cs="Calibri"/>
          <w:color w:val="000000"/>
          <w:sz w:val="22"/>
          <w:szCs w:val="22"/>
        </w:rPr>
        <w:t xml:space="preserve">CZG má své sídlo v České republice a výrobní kapacity v České republice, ve Spojených státech a v Kanadě. Skupina zaměstnává zhruba 2 000 lidí v České republice, USA, Kanadě a Německu. Skupina CZG je vlastněna holdingem Česká zbrojovka </w:t>
      </w:r>
      <w:proofErr w:type="spellStart"/>
      <w:r w:rsidRPr="008B05D0">
        <w:rPr>
          <w:rFonts w:ascii="Calibri" w:hAnsi="Calibri" w:cs="Calibri"/>
          <w:color w:val="000000"/>
          <w:sz w:val="22"/>
          <w:szCs w:val="22"/>
        </w:rPr>
        <w:t>Partners</w:t>
      </w:r>
      <w:proofErr w:type="spellEnd"/>
      <w:r w:rsidRPr="008B05D0">
        <w:rPr>
          <w:rFonts w:ascii="Calibri" w:hAnsi="Calibri" w:cs="Calibri"/>
          <w:color w:val="000000"/>
          <w:sz w:val="22"/>
          <w:szCs w:val="22"/>
        </w:rPr>
        <w:t xml:space="preserve"> SE z 81,2 %, přičemž zbývajících 18,8 % tvoří veřejně obchodované akcie.</w:t>
      </w:r>
    </w:p>
    <w:p w14:paraId="0C1851DE" w14:textId="77777777" w:rsidR="00E739D3" w:rsidRDefault="00E739D3" w:rsidP="0071551B">
      <w:pPr>
        <w:snapToGrid w:val="0"/>
        <w:spacing w:line="276" w:lineRule="auto"/>
        <w:jc w:val="both"/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</w:pPr>
    </w:p>
    <w:p w14:paraId="5D04EF4A" w14:textId="77777777" w:rsidR="00A6243E" w:rsidRDefault="00A6243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</w:pPr>
      <w:r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br w:type="page"/>
      </w:r>
    </w:p>
    <w:p w14:paraId="0122B921" w14:textId="227426E5" w:rsidR="009F2B91" w:rsidRPr="00D86A6D" w:rsidRDefault="00544402" w:rsidP="008124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</w:pPr>
      <w:r w:rsidRPr="00D86A6D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lastRenderedPageBreak/>
        <w:t xml:space="preserve">Kontakt pro </w:t>
      </w:r>
      <w:r w:rsidR="00865346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>média</w:t>
      </w:r>
      <w:r w:rsidR="00424319" w:rsidRPr="00D86A6D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="00424319" w:rsidRPr="00D86A6D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ab/>
      </w:r>
      <w:r w:rsidR="00424319" w:rsidRPr="00D86A6D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ab/>
      </w:r>
      <w:r w:rsidR="00424319" w:rsidRPr="00D86A6D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ab/>
      </w:r>
      <w:r w:rsidR="00424319" w:rsidRPr="00D86A6D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ab/>
      </w:r>
      <w:r w:rsidR="00424319" w:rsidRPr="00D86A6D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ab/>
      </w:r>
      <w:r w:rsidRPr="00D86A6D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 xml:space="preserve">Kontakt pro </w:t>
      </w:r>
      <w:r w:rsidR="00865346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>investory</w:t>
      </w:r>
    </w:p>
    <w:p w14:paraId="4592831F" w14:textId="77777777" w:rsidR="00C21A75" w:rsidRDefault="00C21A75" w:rsidP="0071551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</w:p>
    <w:p w14:paraId="2C24D0E0" w14:textId="3556C71F" w:rsidR="009F2B91" w:rsidRPr="00D86A6D" w:rsidRDefault="00865346" w:rsidP="0071551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  <w:r>
        <w:rPr>
          <w:rFonts w:ascii="Calibri" w:hAnsi="Calibri" w:cs="Calibri"/>
          <w:i/>
          <w:iCs/>
          <w:color w:val="000000" w:themeColor="text1"/>
          <w:sz w:val="21"/>
          <w:szCs w:val="21"/>
        </w:rPr>
        <w:t>Eva Svobodová</w:t>
      </w:r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 xml:space="preserve"> </w:t>
      </w:r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 w:themeColor="text1"/>
          <w:sz w:val="21"/>
          <w:szCs w:val="21"/>
        </w:rPr>
        <w:t>Klára Šípová</w:t>
      </w:r>
    </w:p>
    <w:p w14:paraId="1B6DE976" w14:textId="191D4DBC" w:rsidR="009F2B91" w:rsidRPr="00D86A6D" w:rsidRDefault="00544402" w:rsidP="0071551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  <w:r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 xml:space="preserve">ředitelka </w:t>
      </w:r>
      <w:r w:rsidR="00623830">
        <w:rPr>
          <w:rFonts w:ascii="Calibri" w:hAnsi="Calibri" w:cs="Calibri"/>
          <w:i/>
          <w:iCs/>
          <w:color w:val="000000" w:themeColor="text1"/>
          <w:sz w:val="21"/>
          <w:szCs w:val="21"/>
        </w:rPr>
        <w:t xml:space="preserve">pro </w:t>
      </w:r>
      <w:r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>vnější vztah</w:t>
      </w:r>
      <w:r w:rsidR="00623830">
        <w:rPr>
          <w:rFonts w:ascii="Calibri" w:hAnsi="Calibri" w:cs="Calibri"/>
          <w:i/>
          <w:iCs/>
          <w:color w:val="000000" w:themeColor="text1"/>
          <w:sz w:val="21"/>
          <w:szCs w:val="21"/>
        </w:rPr>
        <w:t>y</w:t>
      </w:r>
      <w:r w:rsidR="00865346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865346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865346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865346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865346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>Investor Relations</w:t>
      </w:r>
    </w:p>
    <w:p w14:paraId="62A208CD" w14:textId="0B7C3137" w:rsidR="009F2B91" w:rsidRPr="00D86A6D" w:rsidRDefault="009F2B91" w:rsidP="0071551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  <w:r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>CZG – Česká zbrojovka Group SE</w:t>
      </w:r>
      <w:r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  <w:t>CZG – Česká zbrojovka Group SE</w:t>
      </w:r>
    </w:p>
    <w:p w14:paraId="397C3091" w14:textId="77777777" w:rsidR="00865346" w:rsidRDefault="00865346" w:rsidP="0071551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  <w:r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>Tel.: +420 735 793</w:t>
      </w:r>
      <w:r>
        <w:rPr>
          <w:rFonts w:ascii="Calibri" w:hAnsi="Calibri" w:cs="Calibri"/>
          <w:i/>
          <w:iCs/>
          <w:color w:val="000000" w:themeColor="text1"/>
          <w:sz w:val="21"/>
          <w:szCs w:val="21"/>
        </w:rPr>
        <w:t> </w:t>
      </w:r>
      <w:r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>656</w:t>
      </w:r>
      <w:r>
        <w:rPr>
          <w:rFonts w:ascii="Calibri" w:hAnsi="Calibri" w:cs="Calibri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544402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>Tel.</w:t>
      </w:r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>: + 420 724 255 715</w:t>
      </w:r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</w:p>
    <w:p w14:paraId="1A39D771" w14:textId="3CCF2A8A" w:rsidR="00CB4095" w:rsidRDefault="00303D6B" w:rsidP="0071551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  <w:r>
        <w:rPr>
          <w:rFonts w:ascii="Calibri" w:hAnsi="Calibri" w:cs="Calibri"/>
          <w:i/>
          <w:iCs/>
          <w:color w:val="000000" w:themeColor="text1"/>
          <w:sz w:val="21"/>
          <w:szCs w:val="21"/>
        </w:rPr>
        <w:t>E</w:t>
      </w:r>
      <w:r w:rsidR="009F2B91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 xml:space="preserve">mail: </w:t>
      </w:r>
      <w:hyperlink r:id="rId11" w:history="1">
        <w:r w:rsidR="00424319" w:rsidRPr="00D86A6D">
          <w:rPr>
            <w:rStyle w:val="Hypertextovodkaz"/>
            <w:rFonts w:ascii="Calibri" w:hAnsi="Calibri" w:cs="Calibri"/>
            <w:i/>
            <w:iCs/>
            <w:sz w:val="21"/>
            <w:szCs w:val="21"/>
          </w:rPr>
          <w:t>media@czg.cz</w:t>
        </w:r>
      </w:hyperlink>
      <w:r w:rsidR="00424319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 xml:space="preserve"> </w:t>
      </w:r>
      <w:r w:rsidR="009F2B91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9F2B91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9F2B91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9F2B91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 w:rsidR="009F2B91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 w:themeColor="text1"/>
          <w:sz w:val="21"/>
          <w:szCs w:val="21"/>
        </w:rPr>
        <w:t>E</w:t>
      </w:r>
      <w:r w:rsidR="00865346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 xml:space="preserve">mail: </w:t>
      </w:r>
      <w:hyperlink r:id="rId12" w:history="1">
        <w:r w:rsidR="00865346" w:rsidRPr="00D86A6D">
          <w:rPr>
            <w:rStyle w:val="Hypertextovodkaz"/>
            <w:rFonts w:ascii="Calibri" w:hAnsi="Calibri" w:cs="Calibri"/>
            <w:i/>
            <w:iCs/>
            <w:sz w:val="21"/>
            <w:szCs w:val="21"/>
          </w:rPr>
          <w:t>sipova.klara@czg.cz</w:t>
        </w:r>
      </w:hyperlink>
      <w:r w:rsidR="009F2B91" w:rsidRPr="00D86A6D">
        <w:rPr>
          <w:rFonts w:ascii="Calibri" w:hAnsi="Calibri" w:cs="Calibri"/>
          <w:i/>
          <w:iCs/>
          <w:color w:val="000000" w:themeColor="text1"/>
          <w:sz w:val="21"/>
          <w:szCs w:val="21"/>
        </w:rPr>
        <w:tab/>
      </w:r>
    </w:p>
    <w:p w14:paraId="2E8CE4E9" w14:textId="6E3696AF" w:rsidR="00303D6B" w:rsidRDefault="00303D6B" w:rsidP="0071551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</w:p>
    <w:p w14:paraId="072FE503" w14:textId="77777777" w:rsidR="00303D6B" w:rsidRDefault="00303D6B" w:rsidP="00303D6B">
      <w:pPr>
        <w:snapToGrid w:val="0"/>
        <w:spacing w:line="276" w:lineRule="auto"/>
        <w:jc w:val="both"/>
        <w:rPr>
          <w:rFonts w:ascii="Calibri" w:hAnsi="Calibri" w:cs="Calibri"/>
          <w:i/>
          <w:iCs/>
          <w:noProof/>
          <w:color w:val="000000" w:themeColor="text1"/>
          <w:sz w:val="22"/>
          <w:szCs w:val="22"/>
          <w:lang w:val="fr-FR"/>
        </w:rPr>
      </w:pPr>
      <w:r>
        <w:rPr>
          <w:rFonts w:ascii="Calibri" w:hAnsi="Calibri" w:cs="Calibri"/>
          <w:i/>
          <w:iCs/>
          <w:noProof/>
          <w:color w:val="000000" w:themeColor="text1"/>
          <w:sz w:val="22"/>
          <w:szCs w:val="22"/>
          <w:lang w:val="fr-FR"/>
        </w:rPr>
        <w:t>Kristýna Pavlačková</w:t>
      </w:r>
    </w:p>
    <w:p w14:paraId="537150E5" w14:textId="77777777" w:rsidR="00303D6B" w:rsidRDefault="00303D6B" w:rsidP="00303D6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  <w:lang w:val="fr-FR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  <w:lang w:val="fr-FR"/>
        </w:rPr>
        <w:t>Bison &amp; Rose</w:t>
      </w:r>
    </w:p>
    <w:p w14:paraId="3D3952DC" w14:textId="7A051829" w:rsidR="00303D6B" w:rsidRDefault="00303D6B" w:rsidP="00303D6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  <w:lang w:val="fr-FR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  <w:lang w:val="fr-FR"/>
        </w:rPr>
        <w:t>Tel</w:t>
      </w:r>
      <w:proofErr w:type="gramStart"/>
      <w:r>
        <w:rPr>
          <w:rFonts w:ascii="Calibri" w:hAnsi="Calibri" w:cs="Calibri"/>
          <w:i/>
          <w:iCs/>
          <w:color w:val="000000" w:themeColor="text1"/>
          <w:sz w:val="22"/>
          <w:szCs w:val="22"/>
          <w:lang w:val="fr-FR"/>
        </w:rPr>
        <w:t>.:</w:t>
      </w:r>
      <w:proofErr w:type="gramEnd"/>
      <w:r>
        <w:rPr>
          <w:rFonts w:ascii="Calibri" w:hAnsi="Calibri" w:cs="Calibri"/>
          <w:i/>
          <w:iCs/>
          <w:color w:val="000000" w:themeColor="text1"/>
          <w:sz w:val="22"/>
          <w:szCs w:val="22"/>
          <w:lang w:val="fr-FR"/>
        </w:rPr>
        <w:t xml:space="preserve"> +420 608 763 383</w:t>
      </w:r>
    </w:p>
    <w:p w14:paraId="5B2C8A73" w14:textId="76E3F088" w:rsidR="00303D6B" w:rsidRPr="00E876D5" w:rsidRDefault="00303D6B" w:rsidP="00303D6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  <w:lang w:val="fr-FR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  <w:lang w:val="fr-FR"/>
        </w:rPr>
        <w:t xml:space="preserve">Email: </w:t>
      </w:r>
      <w:hyperlink r:id="rId13" w:history="1">
        <w:r w:rsidRPr="00F12C70">
          <w:rPr>
            <w:rStyle w:val="Hypertextovodkaz"/>
            <w:rFonts w:ascii="Calibri" w:hAnsi="Calibri" w:cs="Calibri"/>
            <w:i/>
            <w:iCs/>
            <w:sz w:val="22"/>
            <w:szCs w:val="22"/>
            <w:lang w:val="fr-FR"/>
          </w:rPr>
          <w:t>kristyna.pavlackova@bisonrose.cz</w:t>
        </w:r>
      </w:hyperlink>
      <w:r>
        <w:rPr>
          <w:rFonts w:ascii="Calibri" w:hAnsi="Calibri" w:cs="Calibri"/>
          <w:i/>
          <w:iCs/>
          <w:color w:val="000000" w:themeColor="text1"/>
          <w:sz w:val="22"/>
          <w:szCs w:val="22"/>
          <w:lang w:val="fr-FR"/>
        </w:rPr>
        <w:t xml:space="preserve"> </w:t>
      </w:r>
    </w:p>
    <w:p w14:paraId="3F3FA1D3" w14:textId="77777777" w:rsidR="00303D6B" w:rsidRPr="00865346" w:rsidRDefault="00303D6B" w:rsidP="0071551B">
      <w:pPr>
        <w:snapToGri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</w:p>
    <w:sectPr w:rsidR="00303D6B" w:rsidRPr="00865346" w:rsidSect="008547EC">
      <w:headerReference w:type="default" r:id="rId14"/>
      <w:footerReference w:type="default" r:id="rId15"/>
      <w:pgSz w:w="11900" w:h="16840"/>
      <w:pgMar w:top="2269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4D8A" w14:textId="77777777" w:rsidR="00FE6F58" w:rsidRDefault="00FE6F58">
      <w:r>
        <w:separator/>
      </w:r>
    </w:p>
  </w:endnote>
  <w:endnote w:type="continuationSeparator" w:id="0">
    <w:p w14:paraId="03E2D3F7" w14:textId="77777777" w:rsidR="00FE6F58" w:rsidRDefault="00FE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Light">
    <w:altName w:val="Montserrat Light"/>
    <w:panose1 w:val="020B0604020202020204"/>
    <w:charset w:val="00"/>
    <w:family w:val="auto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20DC" w14:textId="7E02335F" w:rsidR="00B541FE" w:rsidRDefault="00BD5FC2">
    <w:pPr>
      <w:pStyle w:val="Zpat"/>
      <w:tabs>
        <w:tab w:val="clear" w:pos="9072"/>
        <w:tab w:val="right" w:pos="9046"/>
      </w:tabs>
      <w:jc w:val="center"/>
    </w:pPr>
    <w:r w:rsidRPr="00721E36">
      <w:rPr>
        <w:rFonts w:ascii="Montserrat" w:hAnsi="Montserra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79B511" wp14:editId="42C458EB">
              <wp:simplePos x="0" y="0"/>
              <wp:positionH relativeFrom="column">
                <wp:posOffset>-622300</wp:posOffset>
              </wp:positionH>
              <wp:positionV relativeFrom="paragraph">
                <wp:posOffset>100965</wp:posOffset>
              </wp:positionV>
              <wp:extent cx="5561901" cy="478173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1901" cy="4781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C1532B" w14:textId="77777777" w:rsidR="00BD5FC2" w:rsidRPr="00A61159" w:rsidRDefault="00BD5FC2" w:rsidP="00BD5FC2">
                          <w:pPr>
                            <w:rPr>
                              <w:rFonts w:ascii="Calibri" w:hAnsi="Calibri"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  <w:proofErr w:type="gramStart"/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>CZG - Česká</w:t>
                          </w:r>
                          <w:proofErr w:type="gramEnd"/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 xml:space="preserve"> zbrojovka Group SE, 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Opletalova 1284/37, 110 00 Prague 1, Czech Republic, IČ: 291 51 961</w:t>
                          </w:r>
                        </w:p>
                        <w:p w14:paraId="00A07EE7" w14:textId="77777777" w:rsidR="00BD5FC2" w:rsidRPr="00A61159" w:rsidRDefault="00BD5FC2" w:rsidP="00BD5FC2">
                          <w:pPr>
                            <w:rPr>
                              <w:rFonts w:ascii="Calibri" w:hAnsi="Calibri"/>
                              <w:b/>
                              <w:bCs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9B51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left:0;text-align:left;margin-left:-49pt;margin-top:7.95pt;width:437.95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" filled="f" stroked="f" strokeweight=".5pt">
              <v:textbox>
                <w:txbxContent>
                  <w:p w14:paraId="51C1532B" w14:textId="77777777" w:rsidR="00BD5FC2" w:rsidRPr="00A61159" w:rsidRDefault="00BD5FC2" w:rsidP="00BD5FC2">
                    <w:pPr>
                      <w:rPr>
                        <w:rFonts w:ascii="Calibri" w:hAnsi="Calibri"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  <w:proofErr w:type="gramStart"/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>CZG - Česká</w:t>
                    </w:r>
                    <w:proofErr w:type="gramEnd"/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 xml:space="preserve"> zbrojovka Group SE, 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>Opletalova 1284/37, 110 00 Prague 1, Czech Republic, IČ: 291 51 961</w:t>
                    </w:r>
                  </w:p>
                  <w:p w14:paraId="00A07EE7" w14:textId="77777777" w:rsidR="00BD5FC2" w:rsidRPr="00A61159" w:rsidRDefault="00BD5FC2" w:rsidP="00BD5FC2">
                    <w:pPr>
                      <w:rPr>
                        <w:rFonts w:ascii="Calibri" w:hAnsi="Calibri"/>
                        <w:b/>
                        <w:bCs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866A" w14:textId="77777777" w:rsidR="00FE6F58" w:rsidRDefault="00FE6F58">
      <w:r>
        <w:separator/>
      </w:r>
    </w:p>
  </w:footnote>
  <w:footnote w:type="continuationSeparator" w:id="0">
    <w:p w14:paraId="769C10A7" w14:textId="77777777" w:rsidR="00FE6F58" w:rsidRDefault="00FE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3E18" w14:textId="5E9E3386" w:rsidR="00B541FE" w:rsidRDefault="00BD5FC2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762B85DA" wp14:editId="0BBBC615">
          <wp:simplePos x="0" y="0"/>
          <wp:positionH relativeFrom="page">
            <wp:align>right</wp:align>
          </wp:positionH>
          <wp:positionV relativeFrom="paragraph">
            <wp:posOffset>-440902</wp:posOffset>
          </wp:positionV>
          <wp:extent cx="7555609" cy="1067918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09" cy="106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1FE">
      <w:rPr>
        <w:noProof/>
      </w:rPr>
      <w:drawing>
        <wp:anchor distT="152400" distB="152400" distL="152400" distR="152400" simplePos="0" relativeHeight="251661312" behindDoc="1" locked="0" layoutInCell="1" allowOverlap="1" wp14:anchorId="16E13192" wp14:editId="7B92A499">
          <wp:simplePos x="0" y="0"/>
          <wp:positionH relativeFrom="page">
            <wp:posOffset>900429</wp:posOffset>
          </wp:positionH>
          <wp:positionV relativeFrom="page">
            <wp:posOffset>394334</wp:posOffset>
          </wp:positionV>
          <wp:extent cx="1462406" cy="328296"/>
          <wp:effectExtent l="0" t="0" r="0" b="0"/>
          <wp:wrapNone/>
          <wp:docPr id="34" name="officeArt object" descr="CZ GROUP_Kreslicí plátn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CZ GROUP_Kreslicí plátno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2406" cy="328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69AF"/>
    <w:multiLevelType w:val="hybridMultilevel"/>
    <w:tmpl w:val="57500502"/>
    <w:lvl w:ilvl="0" w:tplc="89FE50FA">
      <w:start w:val="1"/>
      <w:numFmt w:val="decimal"/>
      <w:lvlText w:val="%1."/>
      <w:lvlJc w:val="left"/>
      <w:pPr>
        <w:ind w:left="9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21628">
      <w:start w:val="1"/>
      <w:numFmt w:val="lowerLetter"/>
      <w:lvlText w:val="%2."/>
      <w:lvlJc w:val="left"/>
      <w:pPr>
        <w:ind w:left="16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C86C0">
      <w:start w:val="1"/>
      <w:numFmt w:val="lowerRoman"/>
      <w:lvlText w:val="%3."/>
      <w:lvlJc w:val="left"/>
      <w:pPr>
        <w:ind w:left="240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2A4D8">
      <w:start w:val="1"/>
      <w:numFmt w:val="decimal"/>
      <w:lvlText w:val="%4."/>
      <w:lvlJc w:val="left"/>
      <w:pPr>
        <w:ind w:left="31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9A68">
      <w:start w:val="1"/>
      <w:numFmt w:val="lowerLetter"/>
      <w:lvlText w:val="%5."/>
      <w:lvlJc w:val="left"/>
      <w:pPr>
        <w:ind w:left="38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0A0A0">
      <w:start w:val="1"/>
      <w:numFmt w:val="lowerRoman"/>
      <w:lvlText w:val="%6."/>
      <w:lvlJc w:val="left"/>
      <w:pPr>
        <w:ind w:left="456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81912">
      <w:start w:val="1"/>
      <w:numFmt w:val="decimal"/>
      <w:lvlText w:val="%7."/>
      <w:lvlJc w:val="left"/>
      <w:pPr>
        <w:ind w:left="52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4115C">
      <w:start w:val="1"/>
      <w:numFmt w:val="lowerLetter"/>
      <w:lvlText w:val="%8."/>
      <w:lvlJc w:val="left"/>
      <w:pPr>
        <w:ind w:left="60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6E1B8">
      <w:start w:val="1"/>
      <w:numFmt w:val="lowerRoman"/>
      <w:lvlText w:val="%9."/>
      <w:lvlJc w:val="left"/>
      <w:pPr>
        <w:ind w:left="672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9D702D"/>
    <w:multiLevelType w:val="hybridMultilevel"/>
    <w:tmpl w:val="68E6BC94"/>
    <w:lvl w:ilvl="0" w:tplc="7CA2F2F0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743"/>
    <w:multiLevelType w:val="hybridMultilevel"/>
    <w:tmpl w:val="F710AFF2"/>
    <w:numStyleLink w:val="Importovanstyl3"/>
  </w:abstractNum>
  <w:abstractNum w:abstractNumId="4" w15:restartNumberingAfterBreak="0">
    <w:nsid w:val="1C151189"/>
    <w:multiLevelType w:val="multilevel"/>
    <w:tmpl w:val="BAFE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201E9"/>
    <w:multiLevelType w:val="hybridMultilevel"/>
    <w:tmpl w:val="F63E5718"/>
    <w:styleLink w:val="Importovanstyl2"/>
    <w:lvl w:ilvl="0" w:tplc="A3AC67A8">
      <w:start w:val="1"/>
      <w:numFmt w:val="bullet"/>
      <w:lvlText w:val="•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E69F4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42BE6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A7F8E">
      <w:start w:val="1"/>
      <w:numFmt w:val="bullet"/>
      <w:lvlText w:val="•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E7988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84778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E0B0E">
      <w:start w:val="1"/>
      <w:numFmt w:val="bullet"/>
      <w:lvlText w:val="•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0117E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EC35C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536A81"/>
    <w:multiLevelType w:val="multilevel"/>
    <w:tmpl w:val="D96ED21C"/>
    <w:name w:val="ClientDocText"/>
    <w:lvl w:ilvl="0">
      <w:start w:val="1"/>
      <w:numFmt w:val="none"/>
      <w:pStyle w:val="DocTe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DocTe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DocTe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DocTe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DocTe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DocTe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DocTe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DocTe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DocTextL8"/>
      <w:suff w:val="nothing"/>
      <w:lvlText w:val=""/>
      <w:lvlJc w:val="left"/>
      <w:pPr>
        <w:ind w:left="5760" w:firstLine="0"/>
      </w:pPr>
    </w:lvl>
  </w:abstractNum>
  <w:abstractNum w:abstractNumId="7" w15:restartNumberingAfterBreak="0">
    <w:nsid w:val="318D3CF2"/>
    <w:multiLevelType w:val="hybridMultilevel"/>
    <w:tmpl w:val="8AAEB4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311CC"/>
    <w:multiLevelType w:val="hybridMultilevel"/>
    <w:tmpl w:val="F710AFF2"/>
    <w:styleLink w:val="Importovanstyl3"/>
    <w:lvl w:ilvl="0" w:tplc="5E1A95A8">
      <w:start w:val="1"/>
      <w:numFmt w:val="bullet"/>
      <w:lvlText w:val="-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43352">
      <w:start w:val="1"/>
      <w:numFmt w:val="bullet"/>
      <w:lvlText w:val="o"/>
      <w:lvlJc w:val="left"/>
      <w:pPr>
        <w:ind w:left="14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83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CAF60">
      <w:start w:val="1"/>
      <w:numFmt w:val="bullet"/>
      <w:lvlText w:val="•"/>
      <w:lvlJc w:val="left"/>
      <w:pPr>
        <w:ind w:left="28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A8FA8">
      <w:start w:val="1"/>
      <w:numFmt w:val="bullet"/>
      <w:lvlText w:val="o"/>
      <w:lvlJc w:val="left"/>
      <w:pPr>
        <w:ind w:left="36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2B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8D56">
      <w:start w:val="1"/>
      <w:numFmt w:val="bullet"/>
      <w:lvlText w:val="•"/>
      <w:lvlJc w:val="left"/>
      <w:pPr>
        <w:ind w:left="50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0171C">
      <w:start w:val="1"/>
      <w:numFmt w:val="bullet"/>
      <w:lvlText w:val="o"/>
      <w:lvlJc w:val="left"/>
      <w:pPr>
        <w:ind w:left="5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055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30165D0"/>
    <w:multiLevelType w:val="hybridMultilevel"/>
    <w:tmpl w:val="4EFC883C"/>
    <w:lvl w:ilvl="0" w:tplc="EA2E8D68">
      <w:start w:val="1"/>
      <w:numFmt w:val="decimal"/>
      <w:lvlText w:val="%1."/>
      <w:lvlJc w:val="left"/>
      <w:pPr>
        <w:ind w:left="900" w:hanging="360"/>
      </w:pPr>
      <w:rPr>
        <w:rFonts w:eastAsia="Calibri" w:cs="Calibri"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326AEB"/>
    <w:multiLevelType w:val="hybridMultilevel"/>
    <w:tmpl w:val="0A444DA2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F13FB"/>
    <w:multiLevelType w:val="hybridMultilevel"/>
    <w:tmpl w:val="605C1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93F19"/>
    <w:multiLevelType w:val="hybridMultilevel"/>
    <w:tmpl w:val="6DB2BC56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6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AD7AE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428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2277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6A12C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630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037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811A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E5B2227"/>
    <w:multiLevelType w:val="hybridMultilevel"/>
    <w:tmpl w:val="BBAC4BFC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10D6F"/>
    <w:multiLevelType w:val="hybridMultilevel"/>
    <w:tmpl w:val="930CA540"/>
    <w:lvl w:ilvl="0" w:tplc="DB1EB4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45556"/>
    <w:multiLevelType w:val="hybridMultilevel"/>
    <w:tmpl w:val="D20E2372"/>
    <w:lvl w:ilvl="0" w:tplc="278EBD68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06B95"/>
    <w:multiLevelType w:val="hybridMultilevel"/>
    <w:tmpl w:val="F63E5718"/>
    <w:numStyleLink w:val="Importovanstyl2"/>
  </w:abstractNum>
  <w:abstractNum w:abstractNumId="17" w15:restartNumberingAfterBreak="0">
    <w:nsid w:val="6A767E72"/>
    <w:multiLevelType w:val="hybridMultilevel"/>
    <w:tmpl w:val="6DB2BC56"/>
    <w:styleLink w:val="Importovanstyl1"/>
    <w:lvl w:ilvl="0" w:tplc="C9822A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88FD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6C13A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A1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01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CEE0E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6BA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47E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7B8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CA71A91"/>
    <w:multiLevelType w:val="hybridMultilevel"/>
    <w:tmpl w:val="43DA8D4E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06DD1"/>
    <w:multiLevelType w:val="multilevel"/>
    <w:tmpl w:val="72A0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31365C"/>
    <w:multiLevelType w:val="hybridMultilevel"/>
    <w:tmpl w:val="D4D80766"/>
    <w:lvl w:ilvl="0" w:tplc="BD6C586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A453A"/>
    <w:multiLevelType w:val="hybridMultilevel"/>
    <w:tmpl w:val="6DB2BC56"/>
    <w:numStyleLink w:val="Importovanstyl1"/>
  </w:abstractNum>
  <w:abstractNum w:abstractNumId="22" w15:restartNumberingAfterBreak="0">
    <w:nsid w:val="7CA06A12"/>
    <w:multiLevelType w:val="hybridMultilevel"/>
    <w:tmpl w:val="D4E88550"/>
    <w:lvl w:ilvl="0" w:tplc="DA22C98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</w:num>
  <w:num w:numId="3">
    <w:abstractNumId w:val="17"/>
  </w:num>
  <w:num w:numId="4">
    <w:abstractNumId w:val="21"/>
  </w:num>
  <w:num w:numId="5">
    <w:abstractNumId w:val="5"/>
  </w:num>
  <w:num w:numId="6">
    <w:abstractNumId w:val="16"/>
  </w:num>
  <w:num w:numId="7">
    <w:abstractNumId w:val="21"/>
    <w:lvlOverride w:ilvl="0">
      <w:startOverride w:val="3"/>
    </w:lvlOverride>
  </w:num>
  <w:num w:numId="8">
    <w:abstractNumId w:val="8"/>
  </w:num>
  <w:num w:numId="9">
    <w:abstractNumId w:val="3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9"/>
  </w:num>
  <w:num w:numId="16">
    <w:abstractNumId w:val="15"/>
  </w:num>
  <w:num w:numId="17">
    <w:abstractNumId w:val="20"/>
  </w:num>
  <w:num w:numId="18">
    <w:abstractNumId w:val="22"/>
  </w:num>
  <w:num w:numId="19">
    <w:abstractNumId w:val="0"/>
  </w:num>
  <w:num w:numId="20">
    <w:abstractNumId w:val="19"/>
  </w:num>
  <w:num w:numId="21">
    <w:abstractNumId w:val="4"/>
  </w:num>
  <w:num w:numId="22">
    <w:abstractNumId w:val="11"/>
  </w:num>
  <w:num w:numId="23">
    <w:abstractNumId w:val="7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2"/>
    <w:rsid w:val="0000033C"/>
    <w:rsid w:val="000022B4"/>
    <w:rsid w:val="00002312"/>
    <w:rsid w:val="00006F84"/>
    <w:rsid w:val="00011BC9"/>
    <w:rsid w:val="000121BD"/>
    <w:rsid w:val="000137C5"/>
    <w:rsid w:val="000145C2"/>
    <w:rsid w:val="00015D23"/>
    <w:rsid w:val="0002199B"/>
    <w:rsid w:val="00022236"/>
    <w:rsid w:val="00023287"/>
    <w:rsid w:val="000263F5"/>
    <w:rsid w:val="00033020"/>
    <w:rsid w:val="00034561"/>
    <w:rsid w:val="000366F8"/>
    <w:rsid w:val="00036AF6"/>
    <w:rsid w:val="00043A32"/>
    <w:rsid w:val="0004435C"/>
    <w:rsid w:val="00053B1C"/>
    <w:rsid w:val="00062906"/>
    <w:rsid w:val="0007535B"/>
    <w:rsid w:val="00081B56"/>
    <w:rsid w:val="00082D9E"/>
    <w:rsid w:val="000833F7"/>
    <w:rsid w:val="0008559E"/>
    <w:rsid w:val="00085826"/>
    <w:rsid w:val="00085F4E"/>
    <w:rsid w:val="0009140E"/>
    <w:rsid w:val="000919F2"/>
    <w:rsid w:val="00091E69"/>
    <w:rsid w:val="00093FB3"/>
    <w:rsid w:val="000952CF"/>
    <w:rsid w:val="000A27C6"/>
    <w:rsid w:val="000A3346"/>
    <w:rsid w:val="000B13E7"/>
    <w:rsid w:val="000B1A87"/>
    <w:rsid w:val="000B21AC"/>
    <w:rsid w:val="000B24A8"/>
    <w:rsid w:val="000C0981"/>
    <w:rsid w:val="000C2FD7"/>
    <w:rsid w:val="000C4FC8"/>
    <w:rsid w:val="000C5E76"/>
    <w:rsid w:val="000D25CD"/>
    <w:rsid w:val="000D43DB"/>
    <w:rsid w:val="000D661C"/>
    <w:rsid w:val="000D7679"/>
    <w:rsid w:val="000E092E"/>
    <w:rsid w:val="000E4D20"/>
    <w:rsid w:val="000E5078"/>
    <w:rsid w:val="000E5AF0"/>
    <w:rsid w:val="000E6AF0"/>
    <w:rsid w:val="000F0133"/>
    <w:rsid w:val="000F1606"/>
    <w:rsid w:val="000F19DA"/>
    <w:rsid w:val="000F3825"/>
    <w:rsid w:val="000F575E"/>
    <w:rsid w:val="000F68CF"/>
    <w:rsid w:val="000F74D7"/>
    <w:rsid w:val="000F7E6C"/>
    <w:rsid w:val="001005A4"/>
    <w:rsid w:val="001010ED"/>
    <w:rsid w:val="00101DB3"/>
    <w:rsid w:val="001037CA"/>
    <w:rsid w:val="00107B98"/>
    <w:rsid w:val="00107DD7"/>
    <w:rsid w:val="0011466E"/>
    <w:rsid w:val="00114B57"/>
    <w:rsid w:val="001162D9"/>
    <w:rsid w:val="00123F88"/>
    <w:rsid w:val="001266D7"/>
    <w:rsid w:val="00130054"/>
    <w:rsid w:val="001338D4"/>
    <w:rsid w:val="0013496F"/>
    <w:rsid w:val="00143368"/>
    <w:rsid w:val="001445E8"/>
    <w:rsid w:val="00144662"/>
    <w:rsid w:val="001465DA"/>
    <w:rsid w:val="0014789A"/>
    <w:rsid w:val="001529C5"/>
    <w:rsid w:val="0015380F"/>
    <w:rsid w:val="00154180"/>
    <w:rsid w:val="001545D6"/>
    <w:rsid w:val="00154B2A"/>
    <w:rsid w:val="001563C4"/>
    <w:rsid w:val="0015659A"/>
    <w:rsid w:val="00157A69"/>
    <w:rsid w:val="00160081"/>
    <w:rsid w:val="00166635"/>
    <w:rsid w:val="001667DE"/>
    <w:rsid w:val="001679A4"/>
    <w:rsid w:val="00173CFC"/>
    <w:rsid w:val="001779CD"/>
    <w:rsid w:val="001805AD"/>
    <w:rsid w:val="001805ED"/>
    <w:rsid w:val="00185229"/>
    <w:rsid w:val="0018534A"/>
    <w:rsid w:val="001855E8"/>
    <w:rsid w:val="001864A6"/>
    <w:rsid w:val="00190412"/>
    <w:rsid w:val="0019321B"/>
    <w:rsid w:val="001956C5"/>
    <w:rsid w:val="001A1BA5"/>
    <w:rsid w:val="001B21D7"/>
    <w:rsid w:val="001B2B42"/>
    <w:rsid w:val="001B3E89"/>
    <w:rsid w:val="001B409D"/>
    <w:rsid w:val="001B4889"/>
    <w:rsid w:val="001B6380"/>
    <w:rsid w:val="001B76DA"/>
    <w:rsid w:val="001D05DA"/>
    <w:rsid w:val="001D0A28"/>
    <w:rsid w:val="001D3589"/>
    <w:rsid w:val="001E3DB4"/>
    <w:rsid w:val="001F2F7E"/>
    <w:rsid w:val="001F3024"/>
    <w:rsid w:val="001F32C6"/>
    <w:rsid w:val="001F5959"/>
    <w:rsid w:val="001F6EC0"/>
    <w:rsid w:val="001F7060"/>
    <w:rsid w:val="00201A5A"/>
    <w:rsid w:val="002031F9"/>
    <w:rsid w:val="002052D2"/>
    <w:rsid w:val="00210C64"/>
    <w:rsid w:val="002113B8"/>
    <w:rsid w:val="0021469E"/>
    <w:rsid w:val="00215AC8"/>
    <w:rsid w:val="00226D51"/>
    <w:rsid w:val="0022733B"/>
    <w:rsid w:val="00230885"/>
    <w:rsid w:val="00230A6D"/>
    <w:rsid w:val="002322ED"/>
    <w:rsid w:val="00234C27"/>
    <w:rsid w:val="002356E7"/>
    <w:rsid w:val="00235C53"/>
    <w:rsid w:val="00236273"/>
    <w:rsid w:val="0023674D"/>
    <w:rsid w:val="00236CF3"/>
    <w:rsid w:val="002407E6"/>
    <w:rsid w:val="00243B18"/>
    <w:rsid w:val="00245B7D"/>
    <w:rsid w:val="00245EF9"/>
    <w:rsid w:val="002630DB"/>
    <w:rsid w:val="00265157"/>
    <w:rsid w:val="00265227"/>
    <w:rsid w:val="0026547E"/>
    <w:rsid w:val="002669C7"/>
    <w:rsid w:val="00275A82"/>
    <w:rsid w:val="00277152"/>
    <w:rsid w:val="00280D7C"/>
    <w:rsid w:val="00282247"/>
    <w:rsid w:val="00283187"/>
    <w:rsid w:val="00283EAA"/>
    <w:rsid w:val="00284597"/>
    <w:rsid w:val="00286E54"/>
    <w:rsid w:val="00296B1E"/>
    <w:rsid w:val="002A0E9F"/>
    <w:rsid w:val="002A2180"/>
    <w:rsid w:val="002A6D66"/>
    <w:rsid w:val="002A74E2"/>
    <w:rsid w:val="002B0F85"/>
    <w:rsid w:val="002B41B0"/>
    <w:rsid w:val="002B5E88"/>
    <w:rsid w:val="002C047B"/>
    <w:rsid w:val="002C050B"/>
    <w:rsid w:val="002C0CA5"/>
    <w:rsid w:val="002C22F0"/>
    <w:rsid w:val="002C3716"/>
    <w:rsid w:val="002C3A51"/>
    <w:rsid w:val="002C67D8"/>
    <w:rsid w:val="002C73DB"/>
    <w:rsid w:val="002D2D79"/>
    <w:rsid w:val="002D41BF"/>
    <w:rsid w:val="002D4321"/>
    <w:rsid w:val="002E3DD7"/>
    <w:rsid w:val="002E5ED2"/>
    <w:rsid w:val="002E687B"/>
    <w:rsid w:val="002E7C08"/>
    <w:rsid w:val="002F1C2D"/>
    <w:rsid w:val="00303D6B"/>
    <w:rsid w:val="00305D8A"/>
    <w:rsid w:val="0031046B"/>
    <w:rsid w:val="00310727"/>
    <w:rsid w:val="00312755"/>
    <w:rsid w:val="003136A9"/>
    <w:rsid w:val="00313FCB"/>
    <w:rsid w:val="003157E9"/>
    <w:rsid w:val="003208CF"/>
    <w:rsid w:val="00325300"/>
    <w:rsid w:val="00325440"/>
    <w:rsid w:val="003274A1"/>
    <w:rsid w:val="00331CF0"/>
    <w:rsid w:val="003345B0"/>
    <w:rsid w:val="00335267"/>
    <w:rsid w:val="00335EA2"/>
    <w:rsid w:val="00337574"/>
    <w:rsid w:val="003376A9"/>
    <w:rsid w:val="00337A39"/>
    <w:rsid w:val="00344D60"/>
    <w:rsid w:val="00345900"/>
    <w:rsid w:val="00346412"/>
    <w:rsid w:val="00346BAD"/>
    <w:rsid w:val="00350A30"/>
    <w:rsid w:val="00361EFE"/>
    <w:rsid w:val="003623E6"/>
    <w:rsid w:val="003717F4"/>
    <w:rsid w:val="00373A60"/>
    <w:rsid w:val="00374701"/>
    <w:rsid w:val="00381D4F"/>
    <w:rsid w:val="00382E2D"/>
    <w:rsid w:val="00383DD1"/>
    <w:rsid w:val="003842BC"/>
    <w:rsid w:val="00385666"/>
    <w:rsid w:val="003859DF"/>
    <w:rsid w:val="00387912"/>
    <w:rsid w:val="003935E0"/>
    <w:rsid w:val="00394A5E"/>
    <w:rsid w:val="00397204"/>
    <w:rsid w:val="003A19D2"/>
    <w:rsid w:val="003A7C1C"/>
    <w:rsid w:val="003B07D9"/>
    <w:rsid w:val="003B0B57"/>
    <w:rsid w:val="003B3823"/>
    <w:rsid w:val="003B3B04"/>
    <w:rsid w:val="003B5025"/>
    <w:rsid w:val="003B53D2"/>
    <w:rsid w:val="003B6A78"/>
    <w:rsid w:val="003C2140"/>
    <w:rsid w:val="003C3B50"/>
    <w:rsid w:val="003C693A"/>
    <w:rsid w:val="003D0DDD"/>
    <w:rsid w:val="003D1805"/>
    <w:rsid w:val="003D18D0"/>
    <w:rsid w:val="003D1F47"/>
    <w:rsid w:val="003D38C3"/>
    <w:rsid w:val="003D3A44"/>
    <w:rsid w:val="003D4FB8"/>
    <w:rsid w:val="003D7359"/>
    <w:rsid w:val="003D7811"/>
    <w:rsid w:val="003D7BDD"/>
    <w:rsid w:val="003E09CA"/>
    <w:rsid w:val="003E110B"/>
    <w:rsid w:val="003E5C5F"/>
    <w:rsid w:val="003E6BD8"/>
    <w:rsid w:val="003E746A"/>
    <w:rsid w:val="003E75C1"/>
    <w:rsid w:val="003F1658"/>
    <w:rsid w:val="003F1965"/>
    <w:rsid w:val="003F1BA4"/>
    <w:rsid w:val="003F3D43"/>
    <w:rsid w:val="003F4745"/>
    <w:rsid w:val="003F4A1B"/>
    <w:rsid w:val="00404841"/>
    <w:rsid w:val="0040514D"/>
    <w:rsid w:val="0040789A"/>
    <w:rsid w:val="0041754E"/>
    <w:rsid w:val="00420D42"/>
    <w:rsid w:val="004212F9"/>
    <w:rsid w:val="00424319"/>
    <w:rsid w:val="00426F66"/>
    <w:rsid w:val="004377B6"/>
    <w:rsid w:val="0045211D"/>
    <w:rsid w:val="00452D75"/>
    <w:rsid w:val="004543A3"/>
    <w:rsid w:val="00456EE3"/>
    <w:rsid w:val="00463702"/>
    <w:rsid w:val="00465761"/>
    <w:rsid w:val="00466951"/>
    <w:rsid w:val="00473BC0"/>
    <w:rsid w:val="00474FCA"/>
    <w:rsid w:val="004772F9"/>
    <w:rsid w:val="00477DEC"/>
    <w:rsid w:val="00483D54"/>
    <w:rsid w:val="00484071"/>
    <w:rsid w:val="00485014"/>
    <w:rsid w:val="004900C7"/>
    <w:rsid w:val="00492BE6"/>
    <w:rsid w:val="004949ED"/>
    <w:rsid w:val="004970B0"/>
    <w:rsid w:val="004978A3"/>
    <w:rsid w:val="004A55AB"/>
    <w:rsid w:val="004A6F32"/>
    <w:rsid w:val="004B05B1"/>
    <w:rsid w:val="004B2BD5"/>
    <w:rsid w:val="004C0BB6"/>
    <w:rsid w:val="004C1874"/>
    <w:rsid w:val="004C2611"/>
    <w:rsid w:val="004C30EC"/>
    <w:rsid w:val="004C50C5"/>
    <w:rsid w:val="004C7BD2"/>
    <w:rsid w:val="004D075E"/>
    <w:rsid w:val="004D0CF0"/>
    <w:rsid w:val="004D21E1"/>
    <w:rsid w:val="004D45C7"/>
    <w:rsid w:val="004D620A"/>
    <w:rsid w:val="004D6751"/>
    <w:rsid w:val="004D7AC3"/>
    <w:rsid w:val="004E304E"/>
    <w:rsid w:val="004E30DD"/>
    <w:rsid w:val="004E4186"/>
    <w:rsid w:val="004E55BC"/>
    <w:rsid w:val="004E60E6"/>
    <w:rsid w:val="004F1480"/>
    <w:rsid w:val="004F5E21"/>
    <w:rsid w:val="005010A0"/>
    <w:rsid w:val="005036EB"/>
    <w:rsid w:val="00506252"/>
    <w:rsid w:val="00514DD4"/>
    <w:rsid w:val="00514EFC"/>
    <w:rsid w:val="00516083"/>
    <w:rsid w:val="00520594"/>
    <w:rsid w:val="00521286"/>
    <w:rsid w:val="00522927"/>
    <w:rsid w:val="00523F56"/>
    <w:rsid w:val="00524829"/>
    <w:rsid w:val="00525E59"/>
    <w:rsid w:val="00527D92"/>
    <w:rsid w:val="00531CB3"/>
    <w:rsid w:val="00531FB7"/>
    <w:rsid w:val="005350C4"/>
    <w:rsid w:val="00537097"/>
    <w:rsid w:val="0054156C"/>
    <w:rsid w:val="005436BD"/>
    <w:rsid w:val="00544402"/>
    <w:rsid w:val="00550699"/>
    <w:rsid w:val="0055301D"/>
    <w:rsid w:val="00554101"/>
    <w:rsid w:val="00554ABB"/>
    <w:rsid w:val="0055504C"/>
    <w:rsid w:val="00555B24"/>
    <w:rsid w:val="00557BFC"/>
    <w:rsid w:val="005629DE"/>
    <w:rsid w:val="00562A3A"/>
    <w:rsid w:val="005630E8"/>
    <w:rsid w:val="00564F18"/>
    <w:rsid w:val="00565BE2"/>
    <w:rsid w:val="005663FA"/>
    <w:rsid w:val="00567E72"/>
    <w:rsid w:val="0057042A"/>
    <w:rsid w:val="005705E0"/>
    <w:rsid w:val="00577959"/>
    <w:rsid w:val="00580550"/>
    <w:rsid w:val="00580E22"/>
    <w:rsid w:val="00581906"/>
    <w:rsid w:val="00584AF1"/>
    <w:rsid w:val="00585243"/>
    <w:rsid w:val="005A0884"/>
    <w:rsid w:val="005A2538"/>
    <w:rsid w:val="005A3A2E"/>
    <w:rsid w:val="005A4FD7"/>
    <w:rsid w:val="005A777E"/>
    <w:rsid w:val="005B1018"/>
    <w:rsid w:val="005B336A"/>
    <w:rsid w:val="005B3CC4"/>
    <w:rsid w:val="005B53E2"/>
    <w:rsid w:val="005B5BE6"/>
    <w:rsid w:val="005C3EB8"/>
    <w:rsid w:val="005C54FA"/>
    <w:rsid w:val="005C59D9"/>
    <w:rsid w:val="005D077E"/>
    <w:rsid w:val="005D1C6B"/>
    <w:rsid w:val="005D3E2D"/>
    <w:rsid w:val="005D4AFD"/>
    <w:rsid w:val="005D568D"/>
    <w:rsid w:val="005D583F"/>
    <w:rsid w:val="005D586C"/>
    <w:rsid w:val="005E094E"/>
    <w:rsid w:val="005E51F6"/>
    <w:rsid w:val="005F03BF"/>
    <w:rsid w:val="005F3B00"/>
    <w:rsid w:val="006051EB"/>
    <w:rsid w:val="00607B14"/>
    <w:rsid w:val="00611CE1"/>
    <w:rsid w:val="0061286E"/>
    <w:rsid w:val="00614621"/>
    <w:rsid w:val="00616A59"/>
    <w:rsid w:val="00623830"/>
    <w:rsid w:val="006243A3"/>
    <w:rsid w:val="00626F7E"/>
    <w:rsid w:val="00626F85"/>
    <w:rsid w:val="00631A42"/>
    <w:rsid w:val="00635E5C"/>
    <w:rsid w:val="00636FFC"/>
    <w:rsid w:val="00637319"/>
    <w:rsid w:val="0065282C"/>
    <w:rsid w:val="006540B4"/>
    <w:rsid w:val="0065430A"/>
    <w:rsid w:val="0065560B"/>
    <w:rsid w:val="00656404"/>
    <w:rsid w:val="00660EF7"/>
    <w:rsid w:val="0066168C"/>
    <w:rsid w:val="0066271B"/>
    <w:rsid w:val="006657F8"/>
    <w:rsid w:val="00671428"/>
    <w:rsid w:val="00680A38"/>
    <w:rsid w:val="0068171A"/>
    <w:rsid w:val="00684B27"/>
    <w:rsid w:val="006A14DC"/>
    <w:rsid w:val="006A40B9"/>
    <w:rsid w:val="006A5842"/>
    <w:rsid w:val="006A6D03"/>
    <w:rsid w:val="006B22C3"/>
    <w:rsid w:val="006B31A4"/>
    <w:rsid w:val="006C05CD"/>
    <w:rsid w:val="006C297E"/>
    <w:rsid w:val="006C4FF6"/>
    <w:rsid w:val="006C5294"/>
    <w:rsid w:val="006D3F5A"/>
    <w:rsid w:val="006D5E52"/>
    <w:rsid w:val="006D7610"/>
    <w:rsid w:val="006E07B1"/>
    <w:rsid w:val="006E0EDC"/>
    <w:rsid w:val="006E679F"/>
    <w:rsid w:val="006F2ADD"/>
    <w:rsid w:val="006F38BB"/>
    <w:rsid w:val="00700B67"/>
    <w:rsid w:val="00704B37"/>
    <w:rsid w:val="0070650A"/>
    <w:rsid w:val="007105E6"/>
    <w:rsid w:val="00710653"/>
    <w:rsid w:val="0071551B"/>
    <w:rsid w:val="00716680"/>
    <w:rsid w:val="0071721B"/>
    <w:rsid w:val="00724EAE"/>
    <w:rsid w:val="00730EBD"/>
    <w:rsid w:val="00732388"/>
    <w:rsid w:val="00733BEA"/>
    <w:rsid w:val="0073704D"/>
    <w:rsid w:val="007373AD"/>
    <w:rsid w:val="007433DB"/>
    <w:rsid w:val="00744919"/>
    <w:rsid w:val="00744DD0"/>
    <w:rsid w:val="0074642D"/>
    <w:rsid w:val="00746C55"/>
    <w:rsid w:val="00752289"/>
    <w:rsid w:val="00752A00"/>
    <w:rsid w:val="00752DC4"/>
    <w:rsid w:val="007554CD"/>
    <w:rsid w:val="007568C9"/>
    <w:rsid w:val="007621A1"/>
    <w:rsid w:val="00763DC5"/>
    <w:rsid w:val="00764E2E"/>
    <w:rsid w:val="00765E7B"/>
    <w:rsid w:val="007670D9"/>
    <w:rsid w:val="00770356"/>
    <w:rsid w:val="00771AAF"/>
    <w:rsid w:val="00776085"/>
    <w:rsid w:val="00782FC1"/>
    <w:rsid w:val="007850B4"/>
    <w:rsid w:val="00790B7D"/>
    <w:rsid w:val="0079449F"/>
    <w:rsid w:val="007A4459"/>
    <w:rsid w:val="007A58D4"/>
    <w:rsid w:val="007A6CDD"/>
    <w:rsid w:val="007A7F42"/>
    <w:rsid w:val="007B63FA"/>
    <w:rsid w:val="007B6ABB"/>
    <w:rsid w:val="007C26CE"/>
    <w:rsid w:val="007C3807"/>
    <w:rsid w:val="007D2B05"/>
    <w:rsid w:val="007D3EDD"/>
    <w:rsid w:val="007E2BF3"/>
    <w:rsid w:val="007E394E"/>
    <w:rsid w:val="007E5401"/>
    <w:rsid w:val="007E7F05"/>
    <w:rsid w:val="007F7634"/>
    <w:rsid w:val="008006F1"/>
    <w:rsid w:val="008043CA"/>
    <w:rsid w:val="00804CC6"/>
    <w:rsid w:val="008124F2"/>
    <w:rsid w:val="00812C8C"/>
    <w:rsid w:val="00820657"/>
    <w:rsid w:val="008229F4"/>
    <w:rsid w:val="00832780"/>
    <w:rsid w:val="008328E7"/>
    <w:rsid w:val="00833714"/>
    <w:rsid w:val="008355A0"/>
    <w:rsid w:val="00835741"/>
    <w:rsid w:val="008359D9"/>
    <w:rsid w:val="008403E1"/>
    <w:rsid w:val="00841E63"/>
    <w:rsid w:val="00841E84"/>
    <w:rsid w:val="00842B15"/>
    <w:rsid w:val="00843432"/>
    <w:rsid w:val="0084533D"/>
    <w:rsid w:val="00846048"/>
    <w:rsid w:val="00847925"/>
    <w:rsid w:val="008547EC"/>
    <w:rsid w:val="00857333"/>
    <w:rsid w:val="00860737"/>
    <w:rsid w:val="0086342C"/>
    <w:rsid w:val="008640CC"/>
    <w:rsid w:val="00865346"/>
    <w:rsid w:val="0087024A"/>
    <w:rsid w:val="00872AB3"/>
    <w:rsid w:val="00873AF5"/>
    <w:rsid w:val="00874C94"/>
    <w:rsid w:val="00877B11"/>
    <w:rsid w:val="00877ED6"/>
    <w:rsid w:val="00880709"/>
    <w:rsid w:val="00884B03"/>
    <w:rsid w:val="0089220A"/>
    <w:rsid w:val="00897CFB"/>
    <w:rsid w:val="008A0170"/>
    <w:rsid w:val="008A31EC"/>
    <w:rsid w:val="008A4CA5"/>
    <w:rsid w:val="008A642E"/>
    <w:rsid w:val="008B05D0"/>
    <w:rsid w:val="008B2AE0"/>
    <w:rsid w:val="008B426C"/>
    <w:rsid w:val="008C0D3C"/>
    <w:rsid w:val="008C7A43"/>
    <w:rsid w:val="008D1A38"/>
    <w:rsid w:val="008D2C30"/>
    <w:rsid w:val="008D6ABE"/>
    <w:rsid w:val="008F293E"/>
    <w:rsid w:val="008F398E"/>
    <w:rsid w:val="008F4015"/>
    <w:rsid w:val="008F4B21"/>
    <w:rsid w:val="008F63D4"/>
    <w:rsid w:val="009025E9"/>
    <w:rsid w:val="00903103"/>
    <w:rsid w:val="00903354"/>
    <w:rsid w:val="009051FC"/>
    <w:rsid w:val="009125F4"/>
    <w:rsid w:val="00913052"/>
    <w:rsid w:val="00913752"/>
    <w:rsid w:val="00914E1F"/>
    <w:rsid w:val="00915065"/>
    <w:rsid w:val="00915875"/>
    <w:rsid w:val="00915DF1"/>
    <w:rsid w:val="009170E0"/>
    <w:rsid w:val="00920273"/>
    <w:rsid w:val="0092110E"/>
    <w:rsid w:val="00921A3B"/>
    <w:rsid w:val="00923A2F"/>
    <w:rsid w:val="00923D36"/>
    <w:rsid w:val="00924F2D"/>
    <w:rsid w:val="00927D1C"/>
    <w:rsid w:val="009307EC"/>
    <w:rsid w:val="00933A3E"/>
    <w:rsid w:val="009342AC"/>
    <w:rsid w:val="00937CA8"/>
    <w:rsid w:val="00941AEE"/>
    <w:rsid w:val="00943DC2"/>
    <w:rsid w:val="00952871"/>
    <w:rsid w:val="00952A67"/>
    <w:rsid w:val="00955D6F"/>
    <w:rsid w:val="009573A7"/>
    <w:rsid w:val="009613C0"/>
    <w:rsid w:val="00962E5F"/>
    <w:rsid w:val="00963D40"/>
    <w:rsid w:val="00964C6A"/>
    <w:rsid w:val="00965EB1"/>
    <w:rsid w:val="009671A0"/>
    <w:rsid w:val="009707CF"/>
    <w:rsid w:val="009758F1"/>
    <w:rsid w:val="009769FD"/>
    <w:rsid w:val="009808CC"/>
    <w:rsid w:val="009814DC"/>
    <w:rsid w:val="009905B5"/>
    <w:rsid w:val="00991E29"/>
    <w:rsid w:val="00993994"/>
    <w:rsid w:val="009968BA"/>
    <w:rsid w:val="009A64B5"/>
    <w:rsid w:val="009B06C3"/>
    <w:rsid w:val="009B320B"/>
    <w:rsid w:val="009B711E"/>
    <w:rsid w:val="009C2F8D"/>
    <w:rsid w:val="009C7D42"/>
    <w:rsid w:val="009D0305"/>
    <w:rsid w:val="009D0AEC"/>
    <w:rsid w:val="009D1090"/>
    <w:rsid w:val="009D4F11"/>
    <w:rsid w:val="009E195C"/>
    <w:rsid w:val="009E23AD"/>
    <w:rsid w:val="009E2575"/>
    <w:rsid w:val="009E3AE0"/>
    <w:rsid w:val="009E7106"/>
    <w:rsid w:val="009F2B91"/>
    <w:rsid w:val="009F6620"/>
    <w:rsid w:val="009F66ED"/>
    <w:rsid w:val="00A05283"/>
    <w:rsid w:val="00A059D0"/>
    <w:rsid w:val="00A141D3"/>
    <w:rsid w:val="00A17A96"/>
    <w:rsid w:val="00A22574"/>
    <w:rsid w:val="00A22FB7"/>
    <w:rsid w:val="00A230F6"/>
    <w:rsid w:val="00A2378E"/>
    <w:rsid w:val="00A239AD"/>
    <w:rsid w:val="00A24A3D"/>
    <w:rsid w:val="00A2515D"/>
    <w:rsid w:val="00A25BAA"/>
    <w:rsid w:val="00A25BF9"/>
    <w:rsid w:val="00A261FD"/>
    <w:rsid w:val="00A26F3E"/>
    <w:rsid w:val="00A271DB"/>
    <w:rsid w:val="00A308C7"/>
    <w:rsid w:val="00A32E32"/>
    <w:rsid w:val="00A40EB0"/>
    <w:rsid w:val="00A4135B"/>
    <w:rsid w:val="00A41B38"/>
    <w:rsid w:val="00A4385F"/>
    <w:rsid w:val="00A6243E"/>
    <w:rsid w:val="00A63A7D"/>
    <w:rsid w:val="00A646D6"/>
    <w:rsid w:val="00A66764"/>
    <w:rsid w:val="00A70EF6"/>
    <w:rsid w:val="00A7239E"/>
    <w:rsid w:val="00A72816"/>
    <w:rsid w:val="00A72E1E"/>
    <w:rsid w:val="00A75543"/>
    <w:rsid w:val="00A7556D"/>
    <w:rsid w:val="00A7558A"/>
    <w:rsid w:val="00A756EC"/>
    <w:rsid w:val="00A76F9A"/>
    <w:rsid w:val="00A80342"/>
    <w:rsid w:val="00A85A5A"/>
    <w:rsid w:val="00A867D7"/>
    <w:rsid w:val="00A86AFF"/>
    <w:rsid w:val="00A8771A"/>
    <w:rsid w:val="00A9630A"/>
    <w:rsid w:val="00A9758A"/>
    <w:rsid w:val="00AA046D"/>
    <w:rsid w:val="00AA0FDA"/>
    <w:rsid w:val="00AA39B3"/>
    <w:rsid w:val="00AB3049"/>
    <w:rsid w:val="00AB39EA"/>
    <w:rsid w:val="00AB3C79"/>
    <w:rsid w:val="00AB6D42"/>
    <w:rsid w:val="00AB73DB"/>
    <w:rsid w:val="00AC3D2D"/>
    <w:rsid w:val="00AC4ADE"/>
    <w:rsid w:val="00AC6BC1"/>
    <w:rsid w:val="00AD7EE9"/>
    <w:rsid w:val="00AE192D"/>
    <w:rsid w:val="00AE2946"/>
    <w:rsid w:val="00AE3BAD"/>
    <w:rsid w:val="00AE4574"/>
    <w:rsid w:val="00AF04BD"/>
    <w:rsid w:val="00AF0691"/>
    <w:rsid w:val="00AF33CF"/>
    <w:rsid w:val="00AF409F"/>
    <w:rsid w:val="00AF4E8C"/>
    <w:rsid w:val="00AF59F7"/>
    <w:rsid w:val="00B015E9"/>
    <w:rsid w:val="00B077A5"/>
    <w:rsid w:val="00B11874"/>
    <w:rsid w:val="00B12A34"/>
    <w:rsid w:val="00B13BA2"/>
    <w:rsid w:val="00B13EC9"/>
    <w:rsid w:val="00B148E0"/>
    <w:rsid w:val="00B24D0C"/>
    <w:rsid w:val="00B251A4"/>
    <w:rsid w:val="00B279A1"/>
    <w:rsid w:val="00B31632"/>
    <w:rsid w:val="00B32F3D"/>
    <w:rsid w:val="00B331FF"/>
    <w:rsid w:val="00B33A44"/>
    <w:rsid w:val="00B34FBC"/>
    <w:rsid w:val="00B357EB"/>
    <w:rsid w:val="00B359CA"/>
    <w:rsid w:val="00B40446"/>
    <w:rsid w:val="00B44178"/>
    <w:rsid w:val="00B50C29"/>
    <w:rsid w:val="00B51C90"/>
    <w:rsid w:val="00B541FE"/>
    <w:rsid w:val="00B54B9E"/>
    <w:rsid w:val="00B55120"/>
    <w:rsid w:val="00B55519"/>
    <w:rsid w:val="00B566FE"/>
    <w:rsid w:val="00B65457"/>
    <w:rsid w:val="00B676B8"/>
    <w:rsid w:val="00B747BE"/>
    <w:rsid w:val="00B82677"/>
    <w:rsid w:val="00B86B07"/>
    <w:rsid w:val="00B91585"/>
    <w:rsid w:val="00B92C08"/>
    <w:rsid w:val="00B96AD5"/>
    <w:rsid w:val="00BA3604"/>
    <w:rsid w:val="00BA3911"/>
    <w:rsid w:val="00BA5B32"/>
    <w:rsid w:val="00BA6343"/>
    <w:rsid w:val="00BB03E3"/>
    <w:rsid w:val="00BB6B39"/>
    <w:rsid w:val="00BC28F4"/>
    <w:rsid w:val="00BC32FB"/>
    <w:rsid w:val="00BD1CBE"/>
    <w:rsid w:val="00BD2736"/>
    <w:rsid w:val="00BD5F80"/>
    <w:rsid w:val="00BD5FC2"/>
    <w:rsid w:val="00BD660E"/>
    <w:rsid w:val="00BD7D46"/>
    <w:rsid w:val="00BE1CBA"/>
    <w:rsid w:val="00BE390A"/>
    <w:rsid w:val="00BE6196"/>
    <w:rsid w:val="00BE7863"/>
    <w:rsid w:val="00BF34F0"/>
    <w:rsid w:val="00BF77CC"/>
    <w:rsid w:val="00C027D7"/>
    <w:rsid w:val="00C14FE5"/>
    <w:rsid w:val="00C17D75"/>
    <w:rsid w:val="00C21598"/>
    <w:rsid w:val="00C21A75"/>
    <w:rsid w:val="00C21AB4"/>
    <w:rsid w:val="00C22CEA"/>
    <w:rsid w:val="00C240FB"/>
    <w:rsid w:val="00C256F8"/>
    <w:rsid w:val="00C312DC"/>
    <w:rsid w:val="00C315CB"/>
    <w:rsid w:val="00C33672"/>
    <w:rsid w:val="00C34C36"/>
    <w:rsid w:val="00C40A62"/>
    <w:rsid w:val="00C419A5"/>
    <w:rsid w:val="00C43379"/>
    <w:rsid w:val="00C47C19"/>
    <w:rsid w:val="00C52BF2"/>
    <w:rsid w:val="00C5669E"/>
    <w:rsid w:val="00C577DC"/>
    <w:rsid w:val="00C63670"/>
    <w:rsid w:val="00C63723"/>
    <w:rsid w:val="00C64859"/>
    <w:rsid w:val="00C65C3B"/>
    <w:rsid w:val="00C77A95"/>
    <w:rsid w:val="00C77B04"/>
    <w:rsid w:val="00C801A6"/>
    <w:rsid w:val="00C80332"/>
    <w:rsid w:val="00C81784"/>
    <w:rsid w:val="00C82017"/>
    <w:rsid w:val="00C91910"/>
    <w:rsid w:val="00CA089B"/>
    <w:rsid w:val="00CA74C8"/>
    <w:rsid w:val="00CB1334"/>
    <w:rsid w:val="00CB4095"/>
    <w:rsid w:val="00CB5DF9"/>
    <w:rsid w:val="00CC59FC"/>
    <w:rsid w:val="00CD11DF"/>
    <w:rsid w:val="00CD2434"/>
    <w:rsid w:val="00CD36F9"/>
    <w:rsid w:val="00CD7E7C"/>
    <w:rsid w:val="00CE2335"/>
    <w:rsid w:val="00CE5F20"/>
    <w:rsid w:val="00CE6F8B"/>
    <w:rsid w:val="00CE7855"/>
    <w:rsid w:val="00CF29F8"/>
    <w:rsid w:val="00CF5DED"/>
    <w:rsid w:val="00CF7096"/>
    <w:rsid w:val="00D0671A"/>
    <w:rsid w:val="00D0696C"/>
    <w:rsid w:val="00D07C4A"/>
    <w:rsid w:val="00D12129"/>
    <w:rsid w:val="00D12C87"/>
    <w:rsid w:val="00D132A3"/>
    <w:rsid w:val="00D13D79"/>
    <w:rsid w:val="00D15D86"/>
    <w:rsid w:val="00D167C2"/>
    <w:rsid w:val="00D16880"/>
    <w:rsid w:val="00D20BAB"/>
    <w:rsid w:val="00D2390E"/>
    <w:rsid w:val="00D244B0"/>
    <w:rsid w:val="00D258EC"/>
    <w:rsid w:val="00D2648A"/>
    <w:rsid w:val="00D277AE"/>
    <w:rsid w:val="00D27E07"/>
    <w:rsid w:val="00D33961"/>
    <w:rsid w:val="00D346C3"/>
    <w:rsid w:val="00D34A87"/>
    <w:rsid w:val="00D36E9E"/>
    <w:rsid w:val="00D463E7"/>
    <w:rsid w:val="00D5018D"/>
    <w:rsid w:val="00D5069F"/>
    <w:rsid w:val="00D5121A"/>
    <w:rsid w:val="00D5238E"/>
    <w:rsid w:val="00D5240E"/>
    <w:rsid w:val="00D53930"/>
    <w:rsid w:val="00D559B1"/>
    <w:rsid w:val="00D56134"/>
    <w:rsid w:val="00D56C9E"/>
    <w:rsid w:val="00D6370C"/>
    <w:rsid w:val="00D66EA3"/>
    <w:rsid w:val="00D70D54"/>
    <w:rsid w:val="00D71F9B"/>
    <w:rsid w:val="00D73607"/>
    <w:rsid w:val="00D81C9D"/>
    <w:rsid w:val="00D82233"/>
    <w:rsid w:val="00D86A6D"/>
    <w:rsid w:val="00D86EED"/>
    <w:rsid w:val="00D9091A"/>
    <w:rsid w:val="00D94689"/>
    <w:rsid w:val="00DA1A33"/>
    <w:rsid w:val="00DA6402"/>
    <w:rsid w:val="00DA67B7"/>
    <w:rsid w:val="00DA68BE"/>
    <w:rsid w:val="00DB15FD"/>
    <w:rsid w:val="00DB2F2C"/>
    <w:rsid w:val="00DB3104"/>
    <w:rsid w:val="00DC0C64"/>
    <w:rsid w:val="00DC116A"/>
    <w:rsid w:val="00DC3165"/>
    <w:rsid w:val="00DD38BA"/>
    <w:rsid w:val="00DD4B9A"/>
    <w:rsid w:val="00DD55A8"/>
    <w:rsid w:val="00DD7F3E"/>
    <w:rsid w:val="00DE5317"/>
    <w:rsid w:val="00DF23A1"/>
    <w:rsid w:val="00DF4C94"/>
    <w:rsid w:val="00DF62C5"/>
    <w:rsid w:val="00DF78D9"/>
    <w:rsid w:val="00DF7AA2"/>
    <w:rsid w:val="00E00BF9"/>
    <w:rsid w:val="00E014DD"/>
    <w:rsid w:val="00E01E58"/>
    <w:rsid w:val="00E023E6"/>
    <w:rsid w:val="00E1012B"/>
    <w:rsid w:val="00E13004"/>
    <w:rsid w:val="00E1622C"/>
    <w:rsid w:val="00E163B7"/>
    <w:rsid w:val="00E210A2"/>
    <w:rsid w:val="00E23DD2"/>
    <w:rsid w:val="00E23E61"/>
    <w:rsid w:val="00E2668B"/>
    <w:rsid w:val="00E27321"/>
    <w:rsid w:val="00E31A56"/>
    <w:rsid w:val="00E56A43"/>
    <w:rsid w:val="00E57ADA"/>
    <w:rsid w:val="00E6078D"/>
    <w:rsid w:val="00E61B2B"/>
    <w:rsid w:val="00E62B2C"/>
    <w:rsid w:val="00E632D5"/>
    <w:rsid w:val="00E6786C"/>
    <w:rsid w:val="00E7167E"/>
    <w:rsid w:val="00E739D3"/>
    <w:rsid w:val="00E754B1"/>
    <w:rsid w:val="00E7622D"/>
    <w:rsid w:val="00E76E38"/>
    <w:rsid w:val="00E7735E"/>
    <w:rsid w:val="00E7752F"/>
    <w:rsid w:val="00E77A38"/>
    <w:rsid w:val="00E83E37"/>
    <w:rsid w:val="00E90965"/>
    <w:rsid w:val="00E91CB2"/>
    <w:rsid w:val="00E9220C"/>
    <w:rsid w:val="00E92271"/>
    <w:rsid w:val="00E934CB"/>
    <w:rsid w:val="00E96D3E"/>
    <w:rsid w:val="00E971CE"/>
    <w:rsid w:val="00EA78FE"/>
    <w:rsid w:val="00EA794A"/>
    <w:rsid w:val="00EB0734"/>
    <w:rsid w:val="00EB3C82"/>
    <w:rsid w:val="00EB6AD7"/>
    <w:rsid w:val="00EC08CE"/>
    <w:rsid w:val="00EC3570"/>
    <w:rsid w:val="00EC5301"/>
    <w:rsid w:val="00EC5C76"/>
    <w:rsid w:val="00EC6D18"/>
    <w:rsid w:val="00ED0F3C"/>
    <w:rsid w:val="00ED19BF"/>
    <w:rsid w:val="00ED29B2"/>
    <w:rsid w:val="00EE1284"/>
    <w:rsid w:val="00EE6EAB"/>
    <w:rsid w:val="00EF32E5"/>
    <w:rsid w:val="00EF4012"/>
    <w:rsid w:val="00F00032"/>
    <w:rsid w:val="00F02EB2"/>
    <w:rsid w:val="00F0302C"/>
    <w:rsid w:val="00F075ED"/>
    <w:rsid w:val="00F15183"/>
    <w:rsid w:val="00F15C67"/>
    <w:rsid w:val="00F161E8"/>
    <w:rsid w:val="00F22920"/>
    <w:rsid w:val="00F22CBB"/>
    <w:rsid w:val="00F24F61"/>
    <w:rsid w:val="00F30DE4"/>
    <w:rsid w:val="00F32253"/>
    <w:rsid w:val="00F32B36"/>
    <w:rsid w:val="00F36A97"/>
    <w:rsid w:val="00F50207"/>
    <w:rsid w:val="00F5517B"/>
    <w:rsid w:val="00F55501"/>
    <w:rsid w:val="00F60A52"/>
    <w:rsid w:val="00F64047"/>
    <w:rsid w:val="00F64172"/>
    <w:rsid w:val="00F6564F"/>
    <w:rsid w:val="00F66D44"/>
    <w:rsid w:val="00F67BE4"/>
    <w:rsid w:val="00F72D86"/>
    <w:rsid w:val="00F754A4"/>
    <w:rsid w:val="00F75DF7"/>
    <w:rsid w:val="00F8175E"/>
    <w:rsid w:val="00F82940"/>
    <w:rsid w:val="00F9090A"/>
    <w:rsid w:val="00F91178"/>
    <w:rsid w:val="00F945A7"/>
    <w:rsid w:val="00FA1945"/>
    <w:rsid w:val="00FA49D3"/>
    <w:rsid w:val="00FA7E98"/>
    <w:rsid w:val="00FB09EA"/>
    <w:rsid w:val="00FB0E85"/>
    <w:rsid w:val="00FB1D2F"/>
    <w:rsid w:val="00FB43EB"/>
    <w:rsid w:val="00FB7039"/>
    <w:rsid w:val="00FC1373"/>
    <w:rsid w:val="00FD0513"/>
    <w:rsid w:val="00FD06EB"/>
    <w:rsid w:val="00FD41B7"/>
    <w:rsid w:val="00FD5F46"/>
    <w:rsid w:val="00FD7A5A"/>
    <w:rsid w:val="00FE0711"/>
    <w:rsid w:val="00FE0E91"/>
    <w:rsid w:val="00FE114D"/>
    <w:rsid w:val="00FE1879"/>
    <w:rsid w:val="00FE269F"/>
    <w:rsid w:val="00FE39D0"/>
    <w:rsid w:val="00FE3B74"/>
    <w:rsid w:val="00FE5835"/>
    <w:rsid w:val="00FE58EC"/>
    <w:rsid w:val="00FE6F58"/>
    <w:rsid w:val="00FF1026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A1BE"/>
  <w15:docId w15:val="{187E0CAA-B9A5-4BAE-94FD-8392B8D4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zh-TW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center"/>
      <w:outlineLvl w:val="1"/>
    </w:pPr>
    <w:rPr>
      <w:rFonts w:ascii="Calibri Light" w:eastAsia="Calibri Light" w:hAnsi="Calibri Light" w:cs="Calibri Light"/>
      <w:b/>
      <w:bCs/>
      <w:color w:val="000000"/>
      <w:sz w:val="36"/>
      <w:szCs w:val="36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240" w:after="240" w:line="259" w:lineRule="auto"/>
      <w:jc w:val="both"/>
      <w:outlineLvl w:val="2"/>
    </w:pPr>
    <w:rPr>
      <w:rFonts w:ascii="Montserrat Light" w:eastAsia="Montserrat Light" w:hAnsi="Montserrat Light" w:cs="Montserrat Light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character" w:customStyle="1" w:styleId="s4">
    <w:name w:val="s4"/>
  </w:style>
  <w:style w:type="paragraph" w:styleId="Nadpisobsahu">
    <w:name w:val="TOC Heading"/>
    <w:next w:val="Normln"/>
    <w:uiPriority w:val="39"/>
    <w:qFormat/>
    <w:pPr>
      <w:keepNext/>
      <w:keepLines/>
      <w:spacing w:before="240" w:line="259" w:lineRule="auto"/>
      <w:jc w:val="center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Obsah1">
    <w:name w:val="toc 1"/>
    <w:uiPriority w:val="39"/>
    <w:pPr>
      <w:tabs>
        <w:tab w:val="right" w:leader="dot" w:pos="9046"/>
      </w:tabs>
      <w:spacing w:after="100" w:line="259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540"/>
        <w:tab w:val="right" w:leader="dot" w:pos="9046"/>
      </w:tabs>
      <w:spacing w:after="100" w:line="259" w:lineRule="auto"/>
      <w:ind w:left="2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3">
    <w:name w:val="toc 3"/>
    <w:uiPriority w:val="39"/>
    <w:pPr>
      <w:tabs>
        <w:tab w:val="right" w:leader="dot" w:pos="9046"/>
      </w:tabs>
      <w:spacing w:after="100" w:line="259" w:lineRule="auto"/>
      <w:ind w:left="54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styleId="Odstavecseseznamem">
    <w:name w:val="List Paragraph"/>
    <w:uiPriority w:val="34"/>
    <w:qFormat/>
    <w:pPr>
      <w:spacing w:before="120" w:after="160" w:line="252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0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46B"/>
    <w:rPr>
      <w:rFonts w:ascii="Segoe UI" w:eastAsia="Montserrat Light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7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7A5A"/>
  </w:style>
  <w:style w:type="character" w:customStyle="1" w:styleId="TextkomenteChar">
    <w:name w:val="Text komentáře Char"/>
    <w:basedOn w:val="Standardnpsmoodstavce"/>
    <w:link w:val="Textkomente"/>
    <w:uiPriority w:val="99"/>
    <w:rsid w:val="00FD7A5A"/>
    <w:rPr>
      <w:rFonts w:ascii="Montserrat Light" w:eastAsia="Montserrat Light" w:hAnsi="Montserrat Light" w:cs="Montserrat Light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332"/>
    <w:rPr>
      <w:rFonts w:ascii="Montserrat Light" w:eastAsia="Montserrat Light" w:hAnsi="Montserrat Light" w:cs="Montserrat Light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616A59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07D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ontserrat Light" w:eastAsia="Montserrat Light" w:hAnsi="Montserrat Light" w:cs="Montserrat Light"/>
      <w:color w:val="000000"/>
      <w:u w:color="000000"/>
    </w:rPr>
  </w:style>
  <w:style w:type="paragraph" w:customStyle="1" w:styleId="xmsonormal">
    <w:name w:val="x_msonormal"/>
    <w:basedOn w:val="Normln"/>
    <w:rsid w:val="00466951"/>
    <w:pPr>
      <w:spacing w:before="100" w:beforeAutospacing="1" w:after="100" w:afterAutospacing="1"/>
    </w:pPr>
  </w:style>
  <w:style w:type="paragraph" w:customStyle="1" w:styleId="xxmsolistparagraph">
    <w:name w:val="x_x_msolistparagraph"/>
    <w:basedOn w:val="Normln"/>
    <w:rsid w:val="00933A3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933A3E"/>
    <w:rPr>
      <w:i/>
      <w:iCs/>
    </w:rPr>
  </w:style>
  <w:style w:type="paragraph" w:customStyle="1" w:styleId="xxmsonormal">
    <w:name w:val="x_x_msonormal"/>
    <w:basedOn w:val="Normln"/>
    <w:rsid w:val="00933A3E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716680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6370C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70C"/>
    <w:rPr>
      <w:color w:val="605E5C"/>
      <w:shd w:val="clear" w:color="auto" w:fill="E1DFDD"/>
    </w:rPr>
  </w:style>
  <w:style w:type="character" w:customStyle="1" w:styleId="xgmail-m-3579370226372282034gmail-m-4997268708741835464apple-converted-space">
    <w:name w:val="x_gmail-m-3579370226372282034gmail-m-4997268708741835464apple-converted-space"/>
    <w:basedOn w:val="Standardnpsmoodstavce"/>
    <w:rsid w:val="00B6545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5457"/>
    <w:rPr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5457"/>
    <w:rPr>
      <w:rFonts w:eastAsia="Times New Roman"/>
      <w:bdr w:val="none" w:sz="0" w:space="0" w:color="auto"/>
      <w:lang w:val="en-US" w:eastAsia="zh-TW"/>
    </w:rPr>
  </w:style>
  <w:style w:type="character" w:styleId="Znakapoznpodarou">
    <w:name w:val="footnote reference"/>
    <w:basedOn w:val="Standardnpsmoodstavce"/>
    <w:uiPriority w:val="99"/>
    <w:semiHidden/>
    <w:unhideWhenUsed/>
    <w:rsid w:val="00B65457"/>
    <w:rPr>
      <w:vertAlign w:val="superscript"/>
    </w:rPr>
  </w:style>
  <w:style w:type="character" w:customStyle="1" w:styleId="DeltaViewFormatChange">
    <w:name w:val="DeltaView Format Change"/>
    <w:rsid w:val="007A7F42"/>
    <w:rPr>
      <w:color w:val="800080"/>
      <w:spacing w:val="0"/>
    </w:rPr>
  </w:style>
  <w:style w:type="paragraph" w:customStyle="1" w:styleId="DocText">
    <w:name w:val="DocText"/>
    <w:basedOn w:val="Normln"/>
    <w:rsid w:val="007A7F42"/>
    <w:pPr>
      <w:numPr>
        <w:numId w:val="24"/>
      </w:numPr>
      <w:spacing w:before="240" w:line="260" w:lineRule="atLeast"/>
      <w:jc w:val="both"/>
    </w:pPr>
    <w:rPr>
      <w:rFonts w:eastAsiaTheme="minorHAnsi"/>
      <w:sz w:val="20"/>
      <w:szCs w:val="22"/>
      <w:lang w:val="en-GB" w:eastAsia="en-US"/>
    </w:rPr>
  </w:style>
  <w:style w:type="paragraph" w:customStyle="1" w:styleId="DocTextL1">
    <w:name w:val="DocTextL1"/>
    <w:basedOn w:val="DocText"/>
    <w:rsid w:val="007A7F42"/>
    <w:pPr>
      <w:numPr>
        <w:ilvl w:val="1"/>
      </w:numPr>
    </w:pPr>
  </w:style>
  <w:style w:type="paragraph" w:customStyle="1" w:styleId="DocTextL2">
    <w:name w:val="DocTextL2"/>
    <w:basedOn w:val="DocText"/>
    <w:rsid w:val="007A7F42"/>
    <w:pPr>
      <w:numPr>
        <w:ilvl w:val="2"/>
      </w:numPr>
    </w:pPr>
  </w:style>
  <w:style w:type="paragraph" w:customStyle="1" w:styleId="DocTextL3">
    <w:name w:val="DocTextL3"/>
    <w:basedOn w:val="DocText"/>
    <w:rsid w:val="007A7F42"/>
    <w:pPr>
      <w:numPr>
        <w:ilvl w:val="3"/>
      </w:numPr>
    </w:pPr>
  </w:style>
  <w:style w:type="paragraph" w:customStyle="1" w:styleId="DocTextL4">
    <w:name w:val="DocTextL4"/>
    <w:basedOn w:val="DocText"/>
    <w:rsid w:val="007A7F42"/>
    <w:pPr>
      <w:numPr>
        <w:ilvl w:val="4"/>
      </w:numPr>
    </w:pPr>
  </w:style>
  <w:style w:type="paragraph" w:customStyle="1" w:styleId="DocTextL5">
    <w:name w:val="DocTextL5"/>
    <w:basedOn w:val="DocText"/>
    <w:rsid w:val="007A7F42"/>
    <w:pPr>
      <w:numPr>
        <w:ilvl w:val="5"/>
      </w:numPr>
    </w:pPr>
  </w:style>
  <w:style w:type="paragraph" w:customStyle="1" w:styleId="DocTextL6">
    <w:name w:val="DocTextL6"/>
    <w:basedOn w:val="DocText"/>
    <w:rsid w:val="007A7F42"/>
    <w:pPr>
      <w:numPr>
        <w:ilvl w:val="6"/>
      </w:numPr>
    </w:pPr>
  </w:style>
  <w:style w:type="paragraph" w:customStyle="1" w:styleId="DocTextL7">
    <w:name w:val="DocTextL7"/>
    <w:basedOn w:val="DocText"/>
    <w:rsid w:val="007A7F42"/>
    <w:pPr>
      <w:numPr>
        <w:ilvl w:val="7"/>
      </w:numPr>
    </w:pPr>
  </w:style>
  <w:style w:type="paragraph" w:customStyle="1" w:styleId="DocTextL8">
    <w:name w:val="DocTextL8"/>
    <w:basedOn w:val="DocText"/>
    <w:rsid w:val="007A7F42"/>
    <w:pPr>
      <w:numPr>
        <w:ilvl w:val="8"/>
      </w:numPr>
    </w:pPr>
  </w:style>
  <w:style w:type="table" w:styleId="Mkatabulky">
    <w:name w:val="Table Grid"/>
    <w:basedOn w:val="Normlntabulka"/>
    <w:uiPriority w:val="39"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entNormal">
    <w:name w:val="ClientNormal"/>
    <w:link w:val="ClientNormalChar"/>
    <w:rsid w:val="00660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szCs w:val="22"/>
      <w:bdr w:val="none" w:sz="0" w:space="0" w:color="auto"/>
      <w:lang w:val="en-GB" w:eastAsia="en-US"/>
    </w:rPr>
  </w:style>
  <w:style w:type="character" w:customStyle="1" w:styleId="ClientNormalChar">
    <w:name w:val="ClientNormal Char"/>
    <w:basedOn w:val="Standardnpsmoodstavce"/>
    <w:link w:val="ClientNormal"/>
    <w:rsid w:val="00660EF7"/>
    <w:rPr>
      <w:rFonts w:eastAsiaTheme="minorHAnsi"/>
      <w:szCs w:val="22"/>
      <w:bdr w:val="none" w:sz="0" w:space="0" w:color="auto"/>
      <w:lang w:val="en-GB" w:eastAsia="en-US"/>
    </w:rPr>
  </w:style>
  <w:style w:type="paragraph" w:customStyle="1" w:styleId="o-heroperex">
    <w:name w:val="o-hero__perex"/>
    <w:basedOn w:val="Normln"/>
    <w:rsid w:val="008B05D0"/>
    <w:pPr>
      <w:spacing w:before="100" w:beforeAutospacing="1" w:after="100" w:afterAutospacing="1"/>
    </w:pPr>
  </w:style>
  <w:style w:type="paragraph" w:customStyle="1" w:styleId="Default">
    <w:name w:val="Default"/>
    <w:rsid w:val="00F817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yna.pavlackova@bisonrose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pova.klara@czg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czg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vaKlara\Documents\Vlastn&#237;%20&#353;ablony%20Office\&#353;ablona.dotx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4316FF801A44294F2967AD37F7E0D" ma:contentTypeVersion="11" ma:contentTypeDescription="Vytvoří nový dokument" ma:contentTypeScope="" ma:versionID="83be4d1d0f585df3feee3359c2fad700">
  <xsd:schema xmlns:xsd="http://www.w3.org/2001/XMLSchema" xmlns:xs="http://www.w3.org/2001/XMLSchema" xmlns:p="http://schemas.microsoft.com/office/2006/metadata/properties" xmlns:ns2="7be343bf-2700-4fce-b216-46e2e4feaa37" xmlns:ns3="67127170-065a-4910-bf80-0f16f7033ca5" targetNamespace="http://schemas.microsoft.com/office/2006/metadata/properties" ma:root="true" ma:fieldsID="a640f28b501df1485947cf2ac007fb43" ns2:_="" ns3:_="">
    <xsd:import namespace="7be343bf-2700-4fce-b216-46e2e4feaa37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343bf-2700-4fce-b216-46e2e4fe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3913-312A-4AA5-A563-429E07B0C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6D26D-FC9D-4C69-80D0-14C2770AE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343bf-2700-4fce-b216-46e2e4feaa37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AE16D9-44B6-4A5F-83CB-B9FAFBE6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EB906A-5C4D-48D2-8CBA-B570ACC9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C:\Users\SipovaKlara\Documents\Vlastní šablony Office\šablona.dotx</Template>
  <TotalTime>7</TotalTime>
  <Pages>3</Pages>
  <Words>878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Sipova Klara</dc:creator>
  <cp:lastModifiedBy>Kristýna Pavlačková</cp:lastModifiedBy>
  <cp:revision>9</cp:revision>
  <dcterms:created xsi:type="dcterms:W3CDTF">2021-09-27T15:37:00Z</dcterms:created>
  <dcterms:modified xsi:type="dcterms:W3CDTF">2021-09-29T05:42:00Z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0x0101007F74316FF801A44294F2967AD37F7E0D</vt:lpwstr>
  </property>
</Properties>
</file>