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17DF6" w14:textId="77777777" w:rsidR="001B3BCF" w:rsidRPr="00D777A1" w:rsidRDefault="001B3BCF" w:rsidP="001B3BCF">
      <w:pPr>
        <w:spacing w:line="276" w:lineRule="auto"/>
        <w:jc w:val="right"/>
        <w:rPr>
          <w:rFonts w:ascii="Arial" w:hAnsi="Arial" w:cs="Arial"/>
          <w:b/>
          <w:bCs/>
          <w:sz w:val="20"/>
          <w:szCs w:val="20"/>
          <w:lang w:val="en-US"/>
        </w:rPr>
      </w:pPr>
      <w:r w:rsidRPr="00D777A1">
        <w:rPr>
          <w:rFonts w:ascii="Arial" w:hAnsi="Arial" w:cs="Arial"/>
          <w:b/>
          <w:bCs/>
          <w:caps/>
          <w:sz w:val="20"/>
          <w:szCs w:val="20"/>
          <w:lang w:val="en-US"/>
        </w:rPr>
        <w:t>PRESS RELEASE</w:t>
      </w:r>
    </w:p>
    <w:p w14:paraId="78AA2573" w14:textId="77777777" w:rsidR="001B3BCF" w:rsidRPr="00FA182D" w:rsidRDefault="001B3BCF" w:rsidP="001B3BCF">
      <w:pPr>
        <w:spacing w:line="276" w:lineRule="auto"/>
        <w:jc w:val="both"/>
        <w:rPr>
          <w:rFonts w:ascii="Calibri" w:hAnsi="Calibri" w:cs="Calibri"/>
          <w:color w:val="000000" w:themeColor="text1"/>
          <w:sz w:val="32"/>
          <w:szCs w:val="32"/>
          <w:lang w:val="en-GB"/>
        </w:rPr>
      </w:pPr>
    </w:p>
    <w:p w14:paraId="326B99E0" w14:textId="77777777" w:rsidR="001B3BCF" w:rsidRPr="00FA182D" w:rsidRDefault="001B3BCF" w:rsidP="001B3BCF">
      <w:pPr>
        <w:spacing w:line="276" w:lineRule="auto"/>
        <w:jc w:val="both"/>
        <w:rPr>
          <w:rFonts w:ascii="Calibri" w:hAnsi="Calibri" w:cs="Calibri"/>
          <w:color w:val="000000" w:themeColor="text1"/>
          <w:sz w:val="32"/>
          <w:szCs w:val="32"/>
          <w:lang w:val="en-GB"/>
        </w:rPr>
      </w:pPr>
    </w:p>
    <w:p w14:paraId="64FAEBD5" w14:textId="77777777" w:rsidR="001B3BCF" w:rsidRPr="00FA182D" w:rsidRDefault="001B3BCF" w:rsidP="001B3BCF">
      <w:pPr>
        <w:spacing w:line="276" w:lineRule="auto"/>
        <w:jc w:val="center"/>
        <w:rPr>
          <w:rFonts w:ascii="Calibri" w:hAnsi="Calibri" w:cs="Calibri"/>
          <w:color w:val="000000" w:themeColor="text1"/>
          <w:sz w:val="22"/>
          <w:szCs w:val="22"/>
          <w:lang w:val="en-GB"/>
        </w:rPr>
      </w:pPr>
      <w:r w:rsidRPr="00FA182D">
        <w:rPr>
          <w:rFonts w:ascii="Calibri" w:hAnsi="Calibri" w:cs="Calibri"/>
          <w:b/>
          <w:bCs/>
          <w:color w:val="000000" w:themeColor="text1"/>
          <w:sz w:val="22"/>
          <w:szCs w:val="22"/>
          <w:lang w:val="en-GB"/>
        </w:rPr>
        <w:t xml:space="preserve">CZG – Česká zbrojovka Group SE </w:t>
      </w:r>
      <w:r w:rsidRPr="00FA182D">
        <w:rPr>
          <w:rFonts w:ascii="Calibri" w:hAnsi="Calibri" w:cs="Calibri"/>
          <w:b/>
          <w:bCs/>
          <w:color w:val="000000" w:themeColor="text1"/>
          <w:sz w:val="22"/>
          <w:szCs w:val="22"/>
          <w:lang w:val="en-GB"/>
        </w:rPr>
        <w:br/>
        <w:t xml:space="preserve">achieved revenues of CZK 2 billion in the first quarter of 2021 </w:t>
      </w:r>
    </w:p>
    <w:p w14:paraId="093632D5" w14:textId="77777777" w:rsidR="001B3BCF" w:rsidRPr="00FA182D" w:rsidRDefault="001B3BCF" w:rsidP="001B3BCF">
      <w:pPr>
        <w:spacing w:line="276" w:lineRule="auto"/>
        <w:jc w:val="both"/>
        <w:rPr>
          <w:rFonts w:ascii="Calibri" w:hAnsi="Calibri" w:cs="Calibri"/>
          <w:color w:val="000000" w:themeColor="text1"/>
          <w:lang w:val="en-GB"/>
        </w:rPr>
      </w:pPr>
    </w:p>
    <w:p w14:paraId="7F48D0CB" w14:textId="77777777" w:rsidR="001B3BCF" w:rsidRPr="00FA182D" w:rsidRDefault="001B3BCF" w:rsidP="001B3BCF">
      <w:pPr>
        <w:spacing w:line="276" w:lineRule="auto"/>
        <w:jc w:val="both"/>
        <w:rPr>
          <w:rFonts w:ascii="Calibri" w:hAnsi="Calibri" w:cs="Calibri"/>
          <w:color w:val="000000" w:themeColor="text1"/>
          <w:lang w:val="en-GB"/>
        </w:rPr>
      </w:pPr>
    </w:p>
    <w:p w14:paraId="277EFD86" w14:textId="77777777" w:rsidR="001B3BCF" w:rsidRPr="00FA182D" w:rsidRDefault="001B3BCF" w:rsidP="001B3BCF">
      <w:pPr>
        <w:spacing w:line="276" w:lineRule="auto"/>
        <w:jc w:val="both"/>
        <w:rPr>
          <w:rFonts w:ascii="Calibri" w:hAnsi="Calibri" w:cs="Calibri"/>
          <w:color w:val="000000" w:themeColor="text1"/>
          <w:sz w:val="18"/>
          <w:szCs w:val="18"/>
          <w:lang w:val="en-GB"/>
        </w:rPr>
      </w:pPr>
    </w:p>
    <w:p w14:paraId="4DD0C83C" w14:textId="77777777" w:rsidR="001B3BCF" w:rsidRPr="00FA182D" w:rsidRDefault="001B3BCF" w:rsidP="001B3BCF">
      <w:pPr>
        <w:autoSpaceDE w:val="0"/>
        <w:autoSpaceDN w:val="0"/>
        <w:adjustRightInd w:val="0"/>
        <w:spacing w:line="276" w:lineRule="auto"/>
        <w:jc w:val="both"/>
        <w:rPr>
          <w:rFonts w:ascii="Calibri" w:hAnsi="Calibri" w:cs="Calibri"/>
          <w:color w:val="000000" w:themeColor="text1"/>
          <w:sz w:val="18"/>
          <w:szCs w:val="18"/>
          <w:lang w:val="en-GB"/>
        </w:rPr>
      </w:pPr>
      <w:r w:rsidRPr="00FA182D">
        <w:rPr>
          <w:rFonts w:ascii="Calibri" w:hAnsi="Calibri" w:cs="Calibri"/>
          <w:b/>
          <w:bCs/>
          <w:color w:val="000000" w:themeColor="text1"/>
          <w:sz w:val="18"/>
          <w:szCs w:val="18"/>
          <w:lang w:val="en-GB"/>
        </w:rPr>
        <w:t>Prague (27 May 2021)</w:t>
      </w:r>
      <w:r w:rsidRPr="00FA182D">
        <w:rPr>
          <w:rFonts w:ascii="Calibri" w:hAnsi="Calibri" w:cs="Calibri"/>
          <w:color w:val="000000" w:themeColor="text1"/>
          <w:sz w:val="18"/>
          <w:szCs w:val="18"/>
          <w:lang w:val="en-GB"/>
        </w:rPr>
        <w:t xml:space="preserve"> ― CZG - Česká zbrojovka Group SE (“CZG”, the “Group” or the “Company”) today announced its consolidated unaudited financial results for the first three months of 2021 ending 31 March.</w:t>
      </w:r>
    </w:p>
    <w:p w14:paraId="5D9E755F" w14:textId="77777777" w:rsidR="001B3BCF" w:rsidRPr="00FA182D" w:rsidRDefault="001B3BCF" w:rsidP="001B3BCF">
      <w:pPr>
        <w:spacing w:line="276" w:lineRule="auto"/>
        <w:jc w:val="both"/>
        <w:rPr>
          <w:rFonts w:ascii="Calibri" w:eastAsiaTheme="minorHAnsi" w:hAnsi="Calibri" w:cs="Calibri"/>
          <w:b/>
          <w:bCs/>
          <w:i/>
          <w:iCs/>
          <w:color w:val="000000" w:themeColor="text1"/>
          <w:sz w:val="18"/>
          <w:szCs w:val="18"/>
          <w:lang w:val="en-GB" w:eastAsia="en-US"/>
        </w:rPr>
      </w:pPr>
    </w:p>
    <w:p w14:paraId="2309939B" w14:textId="77777777" w:rsidR="001B3BCF" w:rsidRPr="002970F7" w:rsidRDefault="001B3BCF" w:rsidP="001B3BCF">
      <w:pPr>
        <w:spacing w:line="276" w:lineRule="auto"/>
        <w:jc w:val="both"/>
        <w:rPr>
          <w:rFonts w:ascii="Calibri" w:eastAsiaTheme="minorHAnsi" w:hAnsi="Calibri" w:cs="Calibri"/>
          <w:b/>
          <w:bCs/>
          <w:sz w:val="18"/>
          <w:szCs w:val="18"/>
          <w:lang w:val="en-GB" w:eastAsia="en-US"/>
        </w:rPr>
      </w:pPr>
      <w:r w:rsidRPr="002970F7">
        <w:rPr>
          <w:rFonts w:ascii="Calibri" w:eastAsiaTheme="minorHAnsi" w:hAnsi="Calibri" w:cs="Calibri"/>
          <w:b/>
          <w:bCs/>
          <w:sz w:val="18"/>
          <w:szCs w:val="18"/>
          <w:lang w:val="en-GB" w:eastAsia="en-US"/>
        </w:rPr>
        <w:t>Q1 2021 Financial Highlights</w:t>
      </w:r>
    </w:p>
    <w:p w14:paraId="41706FD5" w14:textId="77777777" w:rsidR="001B3BCF" w:rsidRPr="00FA182D" w:rsidRDefault="001B3BCF" w:rsidP="001B3BCF">
      <w:pPr>
        <w:pStyle w:val="Odstavecseseznamem"/>
        <w:numPr>
          <w:ilvl w:val="0"/>
          <w:numId w:val="23"/>
        </w:numPr>
        <w:rPr>
          <w:rFonts w:eastAsia="Montserrat Light"/>
          <w:color w:val="000000" w:themeColor="text1"/>
          <w:sz w:val="18"/>
          <w:szCs w:val="18"/>
          <w:lang w:val="en-GB"/>
        </w:rPr>
      </w:pPr>
      <w:r w:rsidRPr="00FA182D">
        <w:rPr>
          <w:rFonts w:eastAsia="Montserrat Light"/>
          <w:color w:val="000000" w:themeColor="text1"/>
          <w:sz w:val="18"/>
          <w:szCs w:val="18"/>
          <w:lang w:val="en-GB"/>
        </w:rPr>
        <w:t>The Group’s revenues in the first quarter of 2021 amounted to CZK 2.0 bn, up by 63.7% y-o-y, mainly due to higher number of firearm units sold as a result of strong demand for CZG products, particularly in the United States.</w:t>
      </w:r>
    </w:p>
    <w:p w14:paraId="117F2602" w14:textId="77777777" w:rsidR="001B3BCF" w:rsidRPr="00FA182D" w:rsidRDefault="001B3BCF" w:rsidP="001B3BCF">
      <w:pPr>
        <w:pStyle w:val="Odstavecseseznamem"/>
        <w:numPr>
          <w:ilvl w:val="0"/>
          <w:numId w:val="23"/>
        </w:numPr>
        <w:spacing w:line="276" w:lineRule="auto"/>
        <w:rPr>
          <w:color w:val="000000" w:themeColor="text1"/>
          <w:w w:val="0"/>
          <w:sz w:val="18"/>
          <w:szCs w:val="18"/>
          <w:lang w:val="en-GB"/>
        </w:rPr>
      </w:pPr>
      <w:r w:rsidRPr="00FA182D">
        <w:rPr>
          <w:rFonts w:eastAsia="Montserrat Light"/>
          <w:color w:val="000000" w:themeColor="text1"/>
          <w:sz w:val="18"/>
          <w:szCs w:val="18"/>
          <w:lang w:val="en-GB"/>
        </w:rPr>
        <w:t xml:space="preserve">Operating profit in the first quarter </w:t>
      </w:r>
      <w:r>
        <w:rPr>
          <w:rFonts w:eastAsia="Montserrat Light"/>
          <w:color w:val="000000" w:themeColor="text1"/>
          <w:sz w:val="18"/>
          <w:szCs w:val="18"/>
          <w:lang w:val="en-GB"/>
        </w:rPr>
        <w:t xml:space="preserve">of </w:t>
      </w:r>
      <w:r w:rsidRPr="00FA182D">
        <w:rPr>
          <w:rFonts w:eastAsia="Montserrat Light"/>
          <w:color w:val="000000" w:themeColor="text1"/>
          <w:sz w:val="18"/>
          <w:szCs w:val="18"/>
          <w:lang w:val="en-GB"/>
        </w:rPr>
        <w:t>2021 was CZK 334</w:t>
      </w:r>
      <w:r>
        <w:rPr>
          <w:rFonts w:eastAsia="Montserrat Light"/>
          <w:color w:val="000000" w:themeColor="text1"/>
          <w:sz w:val="18"/>
          <w:szCs w:val="18"/>
          <w:lang w:val="en-GB"/>
        </w:rPr>
        <w:t>.</w:t>
      </w:r>
      <w:r w:rsidRPr="00FA182D">
        <w:rPr>
          <w:rFonts w:eastAsia="Montserrat Light"/>
          <w:color w:val="000000" w:themeColor="text1"/>
          <w:sz w:val="18"/>
          <w:szCs w:val="18"/>
          <w:lang w:val="en-GB"/>
        </w:rPr>
        <w:t>9</w:t>
      </w:r>
      <w:r>
        <w:rPr>
          <w:rFonts w:eastAsia="Montserrat Light"/>
          <w:color w:val="000000" w:themeColor="text1"/>
          <w:sz w:val="18"/>
          <w:szCs w:val="18"/>
          <w:lang w:val="en-GB"/>
        </w:rPr>
        <w:t xml:space="preserve"> </w:t>
      </w:r>
      <w:r w:rsidRPr="00FA182D">
        <w:rPr>
          <w:rFonts w:eastAsia="Montserrat Light"/>
          <w:color w:val="000000" w:themeColor="text1"/>
          <w:sz w:val="18"/>
          <w:szCs w:val="18"/>
          <w:lang w:val="en-GB"/>
        </w:rPr>
        <w:t xml:space="preserve">million, up by 216.6% compared to the first quarter 2020, driven by higher revenues. </w:t>
      </w:r>
      <w:r w:rsidRPr="00FA182D">
        <w:rPr>
          <w:color w:val="000000" w:themeColor="text1"/>
          <w:w w:val="0"/>
          <w:sz w:val="18"/>
          <w:szCs w:val="18"/>
          <w:lang w:val="en-GB"/>
        </w:rPr>
        <w:t>EBITDA</w:t>
      </w:r>
      <w:r w:rsidRPr="00FA182D">
        <w:rPr>
          <w:rStyle w:val="Znakapoznpodarou"/>
          <w:color w:val="000000" w:themeColor="text1"/>
          <w:w w:val="0"/>
          <w:sz w:val="18"/>
          <w:szCs w:val="18"/>
          <w:lang w:val="en-GB"/>
        </w:rPr>
        <w:footnoteReference w:id="1"/>
      </w:r>
      <w:r w:rsidRPr="00FA182D">
        <w:rPr>
          <w:color w:val="000000" w:themeColor="text1"/>
          <w:w w:val="0"/>
          <w:sz w:val="18"/>
          <w:szCs w:val="18"/>
          <w:lang w:val="en-GB"/>
        </w:rPr>
        <w:t xml:space="preserve"> reached CZK 438,2</w:t>
      </w:r>
      <w:r>
        <w:rPr>
          <w:color w:val="000000" w:themeColor="text1"/>
          <w:w w:val="0"/>
          <w:sz w:val="18"/>
          <w:szCs w:val="18"/>
          <w:lang w:val="en-GB"/>
        </w:rPr>
        <w:t xml:space="preserve"> </w:t>
      </w:r>
      <w:r w:rsidRPr="00FA182D">
        <w:rPr>
          <w:color w:val="000000" w:themeColor="text1"/>
          <w:w w:val="0"/>
          <w:sz w:val="18"/>
          <w:szCs w:val="18"/>
          <w:lang w:val="en-GB"/>
        </w:rPr>
        <w:t xml:space="preserve">million in 2020, up 117.4% y-o-y. </w:t>
      </w:r>
    </w:p>
    <w:p w14:paraId="55E1D638" w14:textId="77777777" w:rsidR="001B3BCF" w:rsidRPr="00FA182D" w:rsidRDefault="001B3BCF" w:rsidP="001B3BCF">
      <w:pPr>
        <w:pStyle w:val="Odstavecseseznamem"/>
        <w:numPr>
          <w:ilvl w:val="0"/>
          <w:numId w:val="23"/>
        </w:numPr>
        <w:rPr>
          <w:color w:val="000000" w:themeColor="text1"/>
          <w:w w:val="0"/>
          <w:sz w:val="18"/>
          <w:szCs w:val="18"/>
          <w:lang w:val="en-GB"/>
        </w:rPr>
      </w:pPr>
      <w:r w:rsidRPr="00FA182D">
        <w:rPr>
          <w:color w:val="000000" w:themeColor="text1"/>
          <w:w w:val="0"/>
          <w:sz w:val="18"/>
          <w:szCs w:val="18"/>
          <w:lang w:val="en-GB"/>
        </w:rPr>
        <w:t>The number of firearms sold in the first three months of 2021 increased by 58.3% compared to the same period in 2020, reaching 137,083 units.</w:t>
      </w:r>
    </w:p>
    <w:p w14:paraId="53E404B9" w14:textId="77777777" w:rsidR="001B3BCF" w:rsidRPr="00FA182D" w:rsidRDefault="001B3BCF" w:rsidP="001B3BCF">
      <w:pPr>
        <w:pStyle w:val="Odstavecseseznamem"/>
        <w:numPr>
          <w:ilvl w:val="0"/>
          <w:numId w:val="23"/>
        </w:numPr>
        <w:rPr>
          <w:rFonts w:eastAsia="Montserrat Light"/>
          <w:color w:val="000000" w:themeColor="text1"/>
          <w:sz w:val="18"/>
          <w:szCs w:val="18"/>
          <w:lang w:val="en-GB"/>
        </w:rPr>
      </w:pPr>
      <w:r w:rsidRPr="00FA182D">
        <w:rPr>
          <w:rFonts w:eastAsia="Montserrat Light"/>
          <w:color w:val="000000" w:themeColor="text1"/>
          <w:sz w:val="18"/>
          <w:szCs w:val="18"/>
          <w:lang w:val="en-GB"/>
        </w:rPr>
        <w:t xml:space="preserve">Revenues generated in the USA represented 67.0 % share </w:t>
      </w:r>
      <w:r>
        <w:rPr>
          <w:rFonts w:eastAsia="Montserrat Light"/>
          <w:color w:val="000000" w:themeColor="text1"/>
          <w:sz w:val="18"/>
          <w:szCs w:val="18"/>
          <w:lang w:val="en-GB"/>
        </w:rPr>
        <w:t>of</w:t>
      </w:r>
      <w:r w:rsidRPr="00FA182D">
        <w:rPr>
          <w:rFonts w:eastAsia="Montserrat Light"/>
          <w:color w:val="000000" w:themeColor="text1"/>
          <w:sz w:val="18"/>
          <w:szCs w:val="18"/>
          <w:lang w:val="en-GB"/>
        </w:rPr>
        <w:t xml:space="preserve"> total Group’s revenues in the first quarter 2021, followed by Europe (excl. Czech Republic) with 10.9 % share. The share of revenues </w:t>
      </w:r>
      <w:r>
        <w:rPr>
          <w:rFonts w:eastAsia="Montserrat Light"/>
          <w:color w:val="000000" w:themeColor="text1"/>
          <w:sz w:val="18"/>
          <w:szCs w:val="18"/>
          <w:lang w:val="en-GB"/>
        </w:rPr>
        <w:t xml:space="preserve">generated in Africa </w:t>
      </w:r>
      <w:r w:rsidRPr="00FA182D">
        <w:rPr>
          <w:rFonts w:eastAsia="Montserrat Light"/>
          <w:color w:val="000000" w:themeColor="text1"/>
          <w:sz w:val="18"/>
          <w:szCs w:val="18"/>
          <w:lang w:val="en-GB"/>
        </w:rPr>
        <w:t xml:space="preserve">was 68.9 %, Asia represented 6.8 % and 3.7% was </w:t>
      </w:r>
      <w:r>
        <w:rPr>
          <w:rFonts w:eastAsia="Montserrat Light"/>
          <w:color w:val="000000" w:themeColor="text1"/>
          <w:sz w:val="18"/>
          <w:szCs w:val="18"/>
          <w:lang w:val="en-GB"/>
        </w:rPr>
        <w:t xml:space="preserve">the </w:t>
      </w:r>
      <w:r w:rsidRPr="00FA182D">
        <w:rPr>
          <w:rFonts w:eastAsia="Montserrat Light"/>
          <w:color w:val="000000" w:themeColor="text1"/>
          <w:sz w:val="18"/>
          <w:szCs w:val="18"/>
          <w:lang w:val="en-GB"/>
        </w:rPr>
        <w:t xml:space="preserve">rest of the world. The Czech Republic </w:t>
      </w:r>
      <w:r>
        <w:rPr>
          <w:rFonts w:eastAsia="Montserrat Light"/>
          <w:color w:val="000000" w:themeColor="text1"/>
          <w:sz w:val="18"/>
          <w:szCs w:val="18"/>
          <w:lang w:val="en-GB"/>
        </w:rPr>
        <w:t>represented</w:t>
      </w:r>
      <w:r w:rsidRPr="00FA182D">
        <w:rPr>
          <w:rFonts w:eastAsia="Montserrat Light"/>
          <w:color w:val="000000" w:themeColor="text1"/>
          <w:sz w:val="18"/>
          <w:szCs w:val="18"/>
          <w:lang w:val="en-GB"/>
        </w:rPr>
        <w:t xml:space="preserve"> a 2.7 % share </w:t>
      </w:r>
      <w:r>
        <w:rPr>
          <w:rFonts w:eastAsia="Montserrat Light"/>
          <w:color w:val="000000" w:themeColor="text1"/>
          <w:sz w:val="18"/>
          <w:szCs w:val="18"/>
          <w:lang w:val="en-GB"/>
        </w:rPr>
        <w:t>of</w:t>
      </w:r>
      <w:r w:rsidRPr="00FA182D">
        <w:rPr>
          <w:rFonts w:eastAsia="Montserrat Light"/>
          <w:color w:val="000000" w:themeColor="text1"/>
          <w:sz w:val="18"/>
          <w:szCs w:val="18"/>
          <w:lang w:val="en-GB"/>
        </w:rPr>
        <w:t xml:space="preserve"> total revenues in the first quarter </w:t>
      </w:r>
      <w:r>
        <w:rPr>
          <w:rFonts w:eastAsia="Montserrat Light"/>
          <w:color w:val="000000" w:themeColor="text1"/>
          <w:sz w:val="18"/>
          <w:szCs w:val="18"/>
          <w:lang w:val="en-GB"/>
        </w:rPr>
        <w:t xml:space="preserve">of </w:t>
      </w:r>
      <w:r w:rsidRPr="00FA182D">
        <w:rPr>
          <w:rFonts w:eastAsia="Montserrat Light"/>
          <w:color w:val="000000" w:themeColor="text1"/>
          <w:sz w:val="18"/>
          <w:szCs w:val="18"/>
          <w:lang w:val="en-GB"/>
        </w:rPr>
        <w:t xml:space="preserve">2021. </w:t>
      </w:r>
    </w:p>
    <w:p w14:paraId="6D961A00" w14:textId="77777777" w:rsidR="001B3BCF" w:rsidRPr="00FA182D" w:rsidRDefault="001B3BCF" w:rsidP="001B3BCF">
      <w:pPr>
        <w:pStyle w:val="Odstavecseseznamem"/>
        <w:numPr>
          <w:ilvl w:val="0"/>
          <w:numId w:val="23"/>
        </w:numPr>
        <w:rPr>
          <w:rFonts w:eastAsia="Montserrat Light"/>
          <w:color w:val="000000" w:themeColor="text1"/>
          <w:sz w:val="18"/>
          <w:szCs w:val="18"/>
          <w:lang w:val="en-GB"/>
        </w:rPr>
      </w:pPr>
      <w:r w:rsidRPr="00FA182D">
        <w:rPr>
          <w:rFonts w:eastAsia="Montserrat Light"/>
          <w:color w:val="000000" w:themeColor="text1"/>
          <w:sz w:val="18"/>
          <w:szCs w:val="18"/>
          <w:lang w:val="en-GB"/>
        </w:rPr>
        <w:t>Last week the Company successfully closed the acquisition of the 100 % stake in Colt Holding Company LLC (“Colt“).</w:t>
      </w:r>
    </w:p>
    <w:p w14:paraId="32706850" w14:textId="77777777" w:rsidR="001B3BCF" w:rsidRPr="00FA182D" w:rsidRDefault="001B3BCF" w:rsidP="001B3BCF">
      <w:pPr>
        <w:pStyle w:val="Odstavecseseznamem"/>
        <w:numPr>
          <w:ilvl w:val="0"/>
          <w:numId w:val="23"/>
        </w:numPr>
        <w:spacing w:after="0" w:line="276" w:lineRule="auto"/>
        <w:rPr>
          <w:rFonts w:eastAsia="Montserrat Light"/>
          <w:color w:val="000000" w:themeColor="text1"/>
          <w:sz w:val="18"/>
          <w:szCs w:val="18"/>
          <w:lang w:val="en-GB"/>
        </w:rPr>
      </w:pPr>
      <w:r w:rsidRPr="00FA182D">
        <w:rPr>
          <w:rFonts w:eastAsia="Montserrat Light"/>
          <w:color w:val="000000" w:themeColor="text1"/>
          <w:sz w:val="18"/>
          <w:szCs w:val="18"/>
          <w:lang w:val="en-GB"/>
        </w:rPr>
        <w:t xml:space="preserve">The upcoming general meeting of shareholders per rollam will discuss the approval of the dividend payment of CZK 7.5 per share. </w:t>
      </w:r>
    </w:p>
    <w:p w14:paraId="1D5E97B6" w14:textId="77777777" w:rsidR="001B3BCF" w:rsidRPr="00FA182D" w:rsidRDefault="001B3BCF" w:rsidP="001B3BCF">
      <w:pPr>
        <w:autoSpaceDE w:val="0"/>
        <w:autoSpaceDN w:val="0"/>
        <w:adjustRightInd w:val="0"/>
        <w:spacing w:line="276" w:lineRule="auto"/>
        <w:jc w:val="both"/>
        <w:rPr>
          <w:rFonts w:ascii="Calibri" w:hAnsi="Calibri" w:cs="Calibri"/>
          <w:i/>
          <w:iCs/>
          <w:sz w:val="18"/>
          <w:szCs w:val="18"/>
          <w:lang w:val="en-GB"/>
        </w:rPr>
      </w:pPr>
    </w:p>
    <w:p w14:paraId="50EEE201" w14:textId="77777777" w:rsidR="001B3BCF" w:rsidRPr="00FA182D" w:rsidRDefault="001B3BCF" w:rsidP="001B3BCF">
      <w:pPr>
        <w:autoSpaceDE w:val="0"/>
        <w:autoSpaceDN w:val="0"/>
        <w:adjustRightInd w:val="0"/>
        <w:spacing w:line="276" w:lineRule="auto"/>
        <w:jc w:val="both"/>
        <w:rPr>
          <w:rFonts w:ascii="Calibri" w:hAnsi="Calibri" w:cs="Calibri"/>
          <w:color w:val="000000" w:themeColor="text1"/>
          <w:sz w:val="18"/>
          <w:szCs w:val="18"/>
          <w:lang w:val="en-GB"/>
        </w:rPr>
      </w:pPr>
      <w:r w:rsidRPr="00FA182D">
        <w:rPr>
          <w:rFonts w:ascii="Calibri" w:hAnsi="Calibri" w:cs="Calibri"/>
          <w:i/>
          <w:iCs/>
          <w:sz w:val="18"/>
          <w:szCs w:val="18"/>
          <w:lang w:val="en-GB"/>
        </w:rPr>
        <w:t xml:space="preserve">„The financial results of the first quarter </w:t>
      </w:r>
      <w:r>
        <w:rPr>
          <w:rFonts w:ascii="Calibri" w:hAnsi="Calibri" w:cs="Calibri"/>
          <w:i/>
          <w:iCs/>
          <w:sz w:val="18"/>
          <w:szCs w:val="18"/>
          <w:lang w:val="en-GB"/>
        </w:rPr>
        <w:t xml:space="preserve">of </w:t>
      </w:r>
      <w:r w:rsidRPr="00FA182D">
        <w:rPr>
          <w:rFonts w:ascii="Calibri" w:hAnsi="Calibri" w:cs="Calibri"/>
          <w:i/>
          <w:iCs/>
          <w:sz w:val="18"/>
          <w:szCs w:val="18"/>
          <w:lang w:val="en-GB"/>
        </w:rPr>
        <w:t xml:space="preserve">2021 clearly </w:t>
      </w:r>
      <w:r>
        <w:rPr>
          <w:rFonts w:ascii="Calibri" w:hAnsi="Calibri" w:cs="Calibri"/>
          <w:i/>
          <w:iCs/>
          <w:sz w:val="18"/>
          <w:szCs w:val="18"/>
          <w:lang w:val="en-GB"/>
        </w:rPr>
        <w:t>demonstrate</w:t>
      </w:r>
      <w:r w:rsidRPr="00FA182D">
        <w:rPr>
          <w:rFonts w:ascii="Calibri" w:hAnsi="Calibri" w:cs="Calibri"/>
          <w:i/>
          <w:iCs/>
          <w:sz w:val="18"/>
          <w:szCs w:val="18"/>
          <w:lang w:val="en-GB"/>
        </w:rPr>
        <w:t xml:space="preserve"> that our Group´s strategy, product mix as well as the pricing policy </w:t>
      </w:r>
      <w:r>
        <w:rPr>
          <w:rFonts w:ascii="Calibri" w:hAnsi="Calibri" w:cs="Calibri"/>
          <w:i/>
          <w:iCs/>
          <w:sz w:val="18"/>
          <w:szCs w:val="18"/>
          <w:lang w:val="en-GB"/>
        </w:rPr>
        <w:t>are</w:t>
      </w:r>
      <w:r w:rsidRPr="00FA182D">
        <w:rPr>
          <w:rFonts w:ascii="Calibri" w:hAnsi="Calibri" w:cs="Calibri"/>
          <w:i/>
          <w:iCs/>
          <w:sz w:val="18"/>
          <w:szCs w:val="18"/>
          <w:lang w:val="en-GB"/>
        </w:rPr>
        <w:t xml:space="preserve"> set correctly and deliver long-term profit for our investors,” </w:t>
      </w:r>
      <w:r w:rsidRPr="00FA182D">
        <w:rPr>
          <w:rFonts w:ascii="Calibri" w:hAnsi="Calibri" w:cs="Calibri"/>
          <w:sz w:val="18"/>
          <w:szCs w:val="18"/>
          <w:lang w:val="en-GB"/>
        </w:rPr>
        <w:t xml:space="preserve">commented </w:t>
      </w:r>
      <w:r w:rsidRPr="002970F7">
        <w:rPr>
          <w:rFonts w:ascii="Calibri" w:hAnsi="Calibri" w:cs="Calibri"/>
          <w:b/>
          <w:bCs/>
          <w:sz w:val="18"/>
          <w:szCs w:val="18"/>
          <w:lang w:val="en-GB"/>
        </w:rPr>
        <w:t>Lubomír Kovařík, President and Chairman of the Board of CZG</w:t>
      </w:r>
      <w:r>
        <w:rPr>
          <w:rFonts w:ascii="Calibri" w:hAnsi="Calibri" w:cs="Calibri"/>
          <w:sz w:val="18"/>
          <w:szCs w:val="18"/>
          <w:lang w:val="en-GB"/>
        </w:rPr>
        <w:t>.</w:t>
      </w:r>
      <w:r w:rsidRPr="00FA182D">
        <w:rPr>
          <w:rFonts w:ascii="Calibri" w:hAnsi="Calibri" w:cs="Calibri"/>
          <w:color w:val="000000" w:themeColor="text1"/>
          <w:sz w:val="18"/>
          <w:szCs w:val="18"/>
          <w:lang w:val="en-GB"/>
        </w:rPr>
        <w:t xml:space="preserve"> </w:t>
      </w:r>
      <w:r w:rsidRPr="00FA182D">
        <w:rPr>
          <w:rFonts w:ascii="Calibri" w:hAnsi="Calibri" w:cs="Calibri"/>
          <w:i/>
          <w:iCs/>
          <w:color w:val="000000" w:themeColor="text1"/>
          <w:sz w:val="18"/>
          <w:szCs w:val="18"/>
          <w:lang w:val="en-GB"/>
        </w:rPr>
        <w:t xml:space="preserve">„The </w:t>
      </w:r>
      <w:r>
        <w:rPr>
          <w:rFonts w:ascii="Calibri" w:hAnsi="Calibri" w:cs="Calibri"/>
          <w:i/>
          <w:iCs/>
          <w:color w:val="000000" w:themeColor="text1"/>
          <w:sz w:val="18"/>
          <w:szCs w:val="18"/>
          <w:lang w:val="en-GB"/>
        </w:rPr>
        <w:t>other</w:t>
      </w:r>
      <w:r w:rsidRPr="00FA182D">
        <w:rPr>
          <w:rFonts w:ascii="Calibri" w:hAnsi="Calibri" w:cs="Calibri"/>
          <w:i/>
          <w:iCs/>
          <w:color w:val="000000" w:themeColor="text1"/>
          <w:sz w:val="18"/>
          <w:szCs w:val="18"/>
          <w:lang w:val="en-GB"/>
        </w:rPr>
        <w:t xml:space="preserve"> great news for our investors as well as customers is the closing of the Colt </w:t>
      </w:r>
      <w:r>
        <w:rPr>
          <w:rFonts w:ascii="Calibri" w:hAnsi="Calibri" w:cs="Calibri"/>
          <w:i/>
          <w:iCs/>
          <w:color w:val="000000" w:themeColor="text1"/>
          <w:sz w:val="18"/>
          <w:szCs w:val="18"/>
          <w:lang w:val="en-GB"/>
        </w:rPr>
        <w:t>acquisition thanks to</w:t>
      </w:r>
      <w:r w:rsidRPr="00FA182D">
        <w:rPr>
          <w:rFonts w:ascii="Calibri" w:hAnsi="Calibri" w:cs="Calibri"/>
          <w:i/>
          <w:iCs/>
          <w:color w:val="000000" w:themeColor="text1"/>
          <w:sz w:val="18"/>
          <w:szCs w:val="18"/>
          <w:lang w:val="en-GB"/>
        </w:rPr>
        <w:t xml:space="preserve"> which CZG will become a truly global player,” </w:t>
      </w:r>
      <w:r w:rsidRPr="00FA182D">
        <w:rPr>
          <w:rFonts w:ascii="Calibri" w:hAnsi="Calibri" w:cs="Calibri"/>
          <w:color w:val="000000" w:themeColor="text1"/>
          <w:sz w:val="18"/>
          <w:szCs w:val="18"/>
          <w:lang w:val="en-GB"/>
        </w:rPr>
        <w:t>added Lubomír Kovařík.</w:t>
      </w:r>
    </w:p>
    <w:p w14:paraId="776125BD" w14:textId="77777777" w:rsidR="001B3BCF" w:rsidRPr="00FA182D" w:rsidRDefault="001B3BCF" w:rsidP="001B3BCF">
      <w:pPr>
        <w:spacing w:line="276" w:lineRule="auto"/>
        <w:jc w:val="both"/>
        <w:rPr>
          <w:rFonts w:ascii="Calibri" w:hAnsi="Calibri" w:cs="Calibri"/>
          <w:b/>
          <w:bCs/>
          <w:color w:val="000000" w:themeColor="text1"/>
          <w:sz w:val="18"/>
          <w:szCs w:val="18"/>
          <w:shd w:val="clear" w:color="auto" w:fill="FFFFFF"/>
          <w:lang w:val="en-GB"/>
        </w:rPr>
      </w:pPr>
    </w:p>
    <w:p w14:paraId="64F1BAA5" w14:textId="77777777" w:rsidR="001B3BCF" w:rsidRPr="00FA182D" w:rsidRDefault="001B3BCF" w:rsidP="001B3BCF">
      <w:pPr>
        <w:spacing w:line="276" w:lineRule="auto"/>
        <w:jc w:val="both"/>
        <w:rPr>
          <w:rFonts w:ascii="Calibri" w:hAnsi="Calibri" w:cs="Calibri"/>
          <w:i/>
          <w:iCs/>
          <w:color w:val="000000" w:themeColor="text1"/>
          <w:sz w:val="18"/>
          <w:szCs w:val="18"/>
          <w:lang w:val="en-GB"/>
        </w:rPr>
      </w:pPr>
      <w:r w:rsidRPr="00FA182D">
        <w:rPr>
          <w:rFonts w:ascii="Calibri" w:hAnsi="Calibri" w:cs="Calibri"/>
          <w:b/>
          <w:bCs/>
          <w:color w:val="000000" w:themeColor="text1"/>
          <w:sz w:val="18"/>
          <w:szCs w:val="18"/>
          <w:shd w:val="clear" w:color="auto" w:fill="FFFFFF"/>
          <w:lang w:val="en-GB"/>
        </w:rPr>
        <w:t>Jan Drahota</w:t>
      </w:r>
      <w:r w:rsidRPr="00FA182D">
        <w:rPr>
          <w:rFonts w:ascii="Calibri" w:hAnsi="Calibri" w:cs="Calibri"/>
          <w:color w:val="000000" w:themeColor="text1"/>
          <w:sz w:val="18"/>
          <w:szCs w:val="18"/>
          <w:shd w:val="clear" w:color="auto" w:fill="FFFFFF"/>
          <w:lang w:val="en-GB"/>
        </w:rPr>
        <w:t xml:space="preserve">, </w:t>
      </w:r>
      <w:r w:rsidRPr="00FA182D">
        <w:rPr>
          <w:rFonts w:ascii="Calibri" w:hAnsi="Calibri" w:cs="Calibri"/>
          <w:b/>
          <w:bCs/>
          <w:color w:val="000000" w:themeColor="text1"/>
          <w:sz w:val="18"/>
          <w:szCs w:val="18"/>
          <w:shd w:val="clear" w:color="auto" w:fill="FFFFFF"/>
          <w:lang w:val="en-GB"/>
        </w:rPr>
        <w:t xml:space="preserve">Vice-Chairman of the Board of Directors of CZG, </w:t>
      </w:r>
      <w:r w:rsidRPr="00FA182D">
        <w:rPr>
          <w:rFonts w:ascii="Calibri" w:hAnsi="Calibri" w:cs="Calibri"/>
          <w:color w:val="000000" w:themeColor="text1"/>
          <w:sz w:val="18"/>
          <w:szCs w:val="18"/>
          <w:shd w:val="clear" w:color="auto" w:fill="FFFFFF"/>
          <w:lang w:val="en-GB"/>
        </w:rPr>
        <w:t xml:space="preserve">said: </w:t>
      </w:r>
      <w:r w:rsidRPr="00FA182D">
        <w:rPr>
          <w:rFonts w:ascii="Calibri" w:hAnsi="Calibri" w:cs="Calibri"/>
          <w:i/>
          <w:iCs/>
          <w:color w:val="000000" w:themeColor="text1"/>
          <w:sz w:val="18"/>
          <w:szCs w:val="18"/>
          <w:shd w:val="clear" w:color="auto" w:fill="FFFFFF"/>
          <w:lang w:val="en-GB"/>
        </w:rPr>
        <w:t>„The strong</w:t>
      </w:r>
      <w:r>
        <w:rPr>
          <w:rFonts w:ascii="Calibri" w:hAnsi="Calibri" w:cs="Calibri"/>
          <w:i/>
          <w:iCs/>
          <w:color w:val="000000" w:themeColor="text1"/>
          <w:sz w:val="18"/>
          <w:szCs w:val="18"/>
          <w:shd w:val="clear" w:color="auto" w:fill="FFFFFF"/>
          <w:lang w:val="en-GB"/>
        </w:rPr>
        <w:t xml:space="preserve"> results achieved in the</w:t>
      </w:r>
      <w:r w:rsidRPr="00FA182D">
        <w:rPr>
          <w:rFonts w:ascii="Calibri" w:hAnsi="Calibri" w:cs="Calibri"/>
          <w:i/>
          <w:iCs/>
          <w:color w:val="000000" w:themeColor="text1"/>
          <w:sz w:val="18"/>
          <w:szCs w:val="18"/>
          <w:shd w:val="clear" w:color="auto" w:fill="FFFFFF"/>
          <w:lang w:val="en-GB"/>
        </w:rPr>
        <w:t xml:space="preserve"> first quarter </w:t>
      </w:r>
      <w:r>
        <w:rPr>
          <w:rFonts w:ascii="Calibri" w:hAnsi="Calibri" w:cs="Calibri"/>
          <w:i/>
          <w:iCs/>
          <w:color w:val="000000" w:themeColor="text1"/>
          <w:sz w:val="18"/>
          <w:szCs w:val="18"/>
          <w:shd w:val="clear" w:color="auto" w:fill="FFFFFF"/>
          <w:lang w:val="en-GB"/>
        </w:rPr>
        <w:t xml:space="preserve">of </w:t>
      </w:r>
      <w:r w:rsidRPr="00FA182D">
        <w:rPr>
          <w:rFonts w:ascii="Calibri" w:hAnsi="Calibri" w:cs="Calibri"/>
          <w:i/>
          <w:iCs/>
          <w:color w:val="000000" w:themeColor="text1"/>
          <w:sz w:val="18"/>
          <w:szCs w:val="18"/>
          <w:shd w:val="clear" w:color="auto" w:fill="FFFFFF"/>
          <w:lang w:val="en-GB"/>
        </w:rPr>
        <w:t xml:space="preserve">2021 and </w:t>
      </w:r>
      <w:r>
        <w:rPr>
          <w:rFonts w:ascii="Calibri" w:hAnsi="Calibri" w:cs="Calibri"/>
          <w:i/>
          <w:iCs/>
          <w:color w:val="000000" w:themeColor="text1"/>
          <w:sz w:val="18"/>
          <w:szCs w:val="18"/>
          <w:shd w:val="clear" w:color="auto" w:fill="FFFFFF"/>
          <w:lang w:val="en-GB"/>
        </w:rPr>
        <w:t>the continuing</w:t>
      </w:r>
      <w:r w:rsidRPr="00FA182D">
        <w:rPr>
          <w:rFonts w:ascii="Calibri" w:hAnsi="Calibri" w:cs="Calibri"/>
          <w:i/>
          <w:iCs/>
          <w:color w:val="000000" w:themeColor="text1"/>
          <w:sz w:val="18"/>
          <w:szCs w:val="18"/>
          <w:shd w:val="clear" w:color="auto" w:fill="FFFFFF"/>
          <w:lang w:val="en-GB"/>
        </w:rPr>
        <w:t xml:space="preserve"> sales dynamics in the second quarter </w:t>
      </w:r>
      <w:r>
        <w:rPr>
          <w:rFonts w:ascii="Calibri" w:hAnsi="Calibri" w:cs="Calibri"/>
          <w:i/>
          <w:iCs/>
          <w:color w:val="000000" w:themeColor="text1"/>
          <w:sz w:val="18"/>
          <w:szCs w:val="18"/>
          <w:shd w:val="clear" w:color="auto" w:fill="FFFFFF"/>
          <w:lang w:val="en-GB"/>
        </w:rPr>
        <w:t xml:space="preserve">have allowed us to </w:t>
      </w:r>
      <w:r w:rsidRPr="00FA182D">
        <w:rPr>
          <w:rFonts w:ascii="Calibri" w:hAnsi="Calibri" w:cs="Calibri"/>
          <w:i/>
          <w:iCs/>
          <w:color w:val="000000" w:themeColor="text1"/>
          <w:sz w:val="18"/>
          <w:szCs w:val="18"/>
          <w:shd w:val="clear" w:color="auto" w:fill="FFFFFF"/>
          <w:lang w:val="en-GB"/>
        </w:rPr>
        <w:t>improve our full year guidance</w:t>
      </w:r>
      <w:r>
        <w:rPr>
          <w:rFonts w:ascii="Calibri" w:hAnsi="Calibri" w:cs="Calibri"/>
          <w:i/>
          <w:iCs/>
          <w:color w:val="000000" w:themeColor="text1"/>
          <w:sz w:val="18"/>
          <w:szCs w:val="18"/>
          <w:shd w:val="clear" w:color="auto" w:fill="FFFFFF"/>
          <w:lang w:val="en-GB"/>
        </w:rPr>
        <w:t>,</w:t>
      </w:r>
      <w:r w:rsidRPr="00FA182D">
        <w:rPr>
          <w:rFonts w:ascii="Calibri" w:hAnsi="Calibri" w:cs="Calibri"/>
          <w:i/>
          <w:iCs/>
          <w:color w:val="000000" w:themeColor="text1"/>
          <w:sz w:val="18"/>
          <w:szCs w:val="18"/>
          <w:shd w:val="clear" w:color="auto" w:fill="FFFFFF"/>
          <w:lang w:val="en-GB"/>
        </w:rPr>
        <w:t xml:space="preserve"> also taking into account the closing of </w:t>
      </w:r>
      <w:r>
        <w:rPr>
          <w:rFonts w:ascii="Calibri" w:hAnsi="Calibri" w:cs="Calibri"/>
          <w:i/>
          <w:iCs/>
          <w:color w:val="000000" w:themeColor="text1"/>
          <w:sz w:val="18"/>
          <w:szCs w:val="18"/>
          <w:shd w:val="clear" w:color="auto" w:fill="FFFFFF"/>
          <w:lang w:val="en-GB"/>
        </w:rPr>
        <w:t xml:space="preserve">the </w:t>
      </w:r>
      <w:r w:rsidRPr="00FA182D">
        <w:rPr>
          <w:rFonts w:ascii="Calibri" w:hAnsi="Calibri" w:cs="Calibri"/>
          <w:i/>
          <w:iCs/>
          <w:color w:val="000000" w:themeColor="text1"/>
          <w:sz w:val="18"/>
          <w:szCs w:val="18"/>
          <w:shd w:val="clear" w:color="auto" w:fill="FFFFFF"/>
          <w:lang w:val="en-GB"/>
        </w:rPr>
        <w:t>Colt acquisition. Our half year results will already include the financial figures of Colt since the acquisition date.”</w:t>
      </w:r>
    </w:p>
    <w:p w14:paraId="289236DE" w14:textId="77777777" w:rsidR="001B3BCF" w:rsidRPr="00FA182D" w:rsidRDefault="001B3BCF" w:rsidP="001B3BCF">
      <w:pPr>
        <w:spacing w:line="276" w:lineRule="auto"/>
        <w:jc w:val="both"/>
        <w:rPr>
          <w:rFonts w:ascii="Calibri" w:eastAsiaTheme="minorHAnsi" w:hAnsi="Calibri" w:cs="Calibri"/>
          <w:sz w:val="18"/>
          <w:szCs w:val="18"/>
          <w:lang w:val="en-GB" w:eastAsia="en-US"/>
        </w:rPr>
      </w:pPr>
    </w:p>
    <w:p w14:paraId="0C4F9DD8" w14:textId="77777777" w:rsidR="001B3BCF" w:rsidRPr="00FA182D" w:rsidRDefault="001B3BCF" w:rsidP="001B3BCF">
      <w:pPr>
        <w:spacing w:line="276" w:lineRule="auto"/>
        <w:jc w:val="both"/>
        <w:rPr>
          <w:rFonts w:ascii="Calibri" w:eastAsiaTheme="minorHAnsi" w:hAnsi="Calibri" w:cs="Calibri"/>
          <w:b/>
          <w:bCs/>
          <w:sz w:val="18"/>
          <w:szCs w:val="18"/>
          <w:lang w:val="en-GB" w:eastAsia="en-US"/>
        </w:rPr>
      </w:pPr>
      <w:r w:rsidRPr="00FA182D">
        <w:rPr>
          <w:rFonts w:ascii="Calibri" w:eastAsiaTheme="minorHAnsi" w:hAnsi="Calibri" w:cs="Calibri"/>
          <w:b/>
          <w:bCs/>
          <w:sz w:val="18"/>
          <w:szCs w:val="18"/>
          <w:lang w:val="en-GB" w:eastAsia="en-US"/>
        </w:rPr>
        <w:t>Revenues</w:t>
      </w:r>
    </w:p>
    <w:p w14:paraId="65672DF9" w14:textId="77777777" w:rsidR="001B3BCF" w:rsidRPr="00FA182D" w:rsidRDefault="001B3BCF" w:rsidP="001B3BCF">
      <w:pPr>
        <w:autoSpaceDE w:val="0"/>
        <w:autoSpaceDN w:val="0"/>
        <w:adjustRightInd w:val="0"/>
        <w:spacing w:line="276" w:lineRule="auto"/>
        <w:jc w:val="both"/>
        <w:rPr>
          <w:rFonts w:ascii="Calibri" w:eastAsiaTheme="minorHAnsi" w:hAnsi="Calibri" w:cs="Calibri"/>
          <w:sz w:val="18"/>
          <w:szCs w:val="18"/>
          <w:lang w:val="en-GB" w:eastAsia="en-US"/>
        </w:rPr>
      </w:pPr>
      <w:r w:rsidRPr="00FA182D">
        <w:rPr>
          <w:rFonts w:ascii="Calibri" w:eastAsiaTheme="minorHAnsi" w:hAnsi="Calibri" w:cs="Calibri"/>
          <w:sz w:val="18"/>
          <w:szCs w:val="18"/>
          <w:lang w:val="en-GB" w:eastAsia="en-US"/>
        </w:rPr>
        <w:t>Group revenues in the first quarter of 2021 increased by 6</w:t>
      </w:r>
      <w:r>
        <w:rPr>
          <w:rFonts w:ascii="Calibri" w:eastAsiaTheme="minorHAnsi" w:hAnsi="Calibri" w:cs="Calibri"/>
          <w:sz w:val="18"/>
          <w:szCs w:val="18"/>
          <w:lang w:val="en-GB" w:eastAsia="en-US"/>
        </w:rPr>
        <w:t>3</w:t>
      </w:r>
      <w:r w:rsidRPr="00FA182D">
        <w:rPr>
          <w:rFonts w:ascii="Calibri" w:eastAsiaTheme="minorHAnsi" w:hAnsi="Calibri" w:cs="Calibri"/>
          <w:sz w:val="18"/>
          <w:szCs w:val="18"/>
          <w:lang w:val="en-GB" w:eastAsia="en-US"/>
        </w:rPr>
        <w:t xml:space="preserve">.7 %, to CZK 2.0 billion in 2020, mainly due to an increase in the number of firearms sold as a result of increased demand in all key markets, in particular in the US. The y-o-y comparison was impacted by a weaker Q1 2020 revenues affected by the first wave of the Covid-19 pandemic which had a negative effect on distribution and logistics of product deliveries to end customers </w:t>
      </w:r>
      <w:r>
        <w:rPr>
          <w:rFonts w:ascii="Calibri" w:eastAsiaTheme="minorHAnsi" w:hAnsi="Calibri" w:cs="Calibri"/>
          <w:sz w:val="18"/>
          <w:szCs w:val="18"/>
          <w:lang w:val="en-GB" w:eastAsia="en-US"/>
        </w:rPr>
        <w:t>o</w:t>
      </w:r>
      <w:r w:rsidRPr="00FA182D">
        <w:rPr>
          <w:rFonts w:ascii="Calibri" w:eastAsiaTheme="minorHAnsi" w:hAnsi="Calibri" w:cs="Calibri"/>
          <w:sz w:val="18"/>
          <w:szCs w:val="18"/>
          <w:lang w:val="en-GB" w:eastAsia="en-US"/>
        </w:rPr>
        <w:t xml:space="preserve">n the </w:t>
      </w:r>
      <w:r>
        <w:rPr>
          <w:rFonts w:ascii="Calibri" w:eastAsiaTheme="minorHAnsi" w:hAnsi="Calibri" w:cs="Calibri"/>
          <w:sz w:val="18"/>
          <w:szCs w:val="18"/>
          <w:lang w:val="en-GB" w:eastAsia="en-US"/>
        </w:rPr>
        <w:t>key</w:t>
      </w:r>
      <w:r w:rsidRPr="00FA182D">
        <w:rPr>
          <w:rFonts w:ascii="Calibri" w:eastAsiaTheme="minorHAnsi" w:hAnsi="Calibri" w:cs="Calibri"/>
          <w:sz w:val="18"/>
          <w:szCs w:val="18"/>
          <w:lang w:val="en-GB" w:eastAsia="en-US"/>
        </w:rPr>
        <w:t xml:space="preserve"> markets. </w:t>
      </w:r>
    </w:p>
    <w:p w14:paraId="425BA6BD" w14:textId="77777777" w:rsidR="001B3BCF" w:rsidRPr="00FA182D" w:rsidRDefault="001B3BCF" w:rsidP="001B3BCF">
      <w:pPr>
        <w:spacing w:line="276" w:lineRule="auto"/>
        <w:jc w:val="both"/>
        <w:rPr>
          <w:rFonts w:ascii="Calibri" w:eastAsiaTheme="minorHAnsi" w:hAnsi="Calibri" w:cs="Calibri"/>
          <w:sz w:val="18"/>
          <w:szCs w:val="18"/>
          <w:lang w:val="en-GB" w:eastAsia="en-US"/>
        </w:rPr>
      </w:pPr>
      <w:bookmarkStart w:id="0" w:name="_Hlk67647981"/>
    </w:p>
    <w:p w14:paraId="51186F1C" w14:textId="77777777" w:rsidR="001B3BCF" w:rsidRPr="00FA182D" w:rsidRDefault="001B3BCF" w:rsidP="001B3BCF">
      <w:pPr>
        <w:spacing w:line="276" w:lineRule="auto"/>
        <w:jc w:val="both"/>
        <w:rPr>
          <w:rFonts w:ascii="Calibri" w:eastAsiaTheme="minorHAnsi" w:hAnsi="Calibri" w:cs="Calibri"/>
          <w:sz w:val="18"/>
          <w:szCs w:val="18"/>
          <w:lang w:val="en-GB" w:eastAsia="en-US"/>
        </w:rPr>
      </w:pPr>
      <w:r w:rsidRPr="00FA182D">
        <w:rPr>
          <w:rFonts w:ascii="Calibri" w:eastAsiaTheme="minorHAnsi" w:hAnsi="Calibri" w:cs="Calibri"/>
          <w:sz w:val="18"/>
          <w:szCs w:val="18"/>
          <w:lang w:val="en-GB" w:eastAsia="en-US"/>
        </w:rPr>
        <w:t xml:space="preserve">Regionally, revenues in the Czech Republic decreased by 8.9 % to CZK 55.7 million in the first quarter of 2021 due to the shift of the start of deliveries to the Czech Army to the second half of 2021. Revenues in the United States increased by 49.3%, </w:t>
      </w:r>
      <w:r w:rsidRPr="00FA182D">
        <w:rPr>
          <w:rFonts w:ascii="Calibri" w:eastAsiaTheme="minorHAnsi" w:hAnsi="Calibri" w:cs="Calibri"/>
          <w:sz w:val="18"/>
          <w:szCs w:val="18"/>
          <w:lang w:val="en-GB" w:eastAsia="en-US"/>
        </w:rPr>
        <w:lastRenderedPageBreak/>
        <w:t>reaching 1,362.5 million in the first quarter of 2021 mainly as a result of a</w:t>
      </w:r>
      <w:r>
        <w:rPr>
          <w:rFonts w:ascii="Calibri" w:eastAsiaTheme="minorHAnsi" w:hAnsi="Calibri" w:cs="Calibri"/>
          <w:sz w:val="18"/>
          <w:szCs w:val="18"/>
          <w:lang w:val="en-GB" w:eastAsia="en-US"/>
        </w:rPr>
        <w:t>n</w:t>
      </w:r>
      <w:r w:rsidRPr="00FA182D">
        <w:rPr>
          <w:rFonts w:ascii="Calibri" w:eastAsiaTheme="minorHAnsi" w:hAnsi="Calibri" w:cs="Calibri"/>
          <w:sz w:val="18"/>
          <w:szCs w:val="18"/>
          <w:lang w:val="en-GB" w:eastAsia="en-US"/>
        </w:rPr>
        <w:t xml:space="preserve"> increased demand on the commercial market. Revenues in Europe (excluding the Czech Republic) increased by 75.1%, to CZK 221.3 million in the first quarter of 2021. Revenues in Africa increased by 248.0%, to CZK 181.4 million in the first quarter of 2021 due to the realization of large contracts to several military and law enforcement customers. Revenues in Asia increased by 193.4 %, to CZK 137.9 million in the first quarter of 2021 due to increased sales to military and law enforcement customers as well as increased sales to commercial customers.</w:t>
      </w:r>
    </w:p>
    <w:p w14:paraId="316B65D5" w14:textId="77777777" w:rsidR="001B3BCF" w:rsidRPr="00FA182D" w:rsidRDefault="001B3BCF" w:rsidP="001B3BCF">
      <w:pPr>
        <w:spacing w:line="276" w:lineRule="auto"/>
        <w:jc w:val="both"/>
        <w:rPr>
          <w:rFonts w:ascii="Calibri" w:eastAsiaTheme="minorHAnsi" w:hAnsi="Calibri" w:cs="Calibri"/>
          <w:sz w:val="18"/>
          <w:szCs w:val="18"/>
          <w:lang w:val="en-GB" w:eastAsia="en-US"/>
        </w:rPr>
      </w:pPr>
    </w:p>
    <w:p w14:paraId="002E5BFF" w14:textId="77777777" w:rsidR="001B3BCF" w:rsidRPr="00FA182D" w:rsidRDefault="001B3BCF" w:rsidP="001B3BCF">
      <w:pPr>
        <w:spacing w:line="276" w:lineRule="auto"/>
        <w:jc w:val="both"/>
        <w:rPr>
          <w:rFonts w:ascii="Calibri" w:eastAsiaTheme="minorHAnsi" w:hAnsi="Calibri" w:cs="Calibri"/>
          <w:sz w:val="18"/>
          <w:szCs w:val="18"/>
          <w:lang w:val="en-GB" w:eastAsia="en-US"/>
        </w:rPr>
      </w:pPr>
      <w:r w:rsidRPr="00FA182D">
        <w:rPr>
          <w:rFonts w:ascii="Calibri" w:eastAsiaTheme="minorHAnsi" w:hAnsi="Calibri" w:cs="Calibri"/>
          <w:sz w:val="18"/>
          <w:szCs w:val="18"/>
          <w:lang w:val="en-GB" w:eastAsia="en-US"/>
        </w:rPr>
        <w:t xml:space="preserve">Key figures overview: </w:t>
      </w:r>
    </w:p>
    <w:tbl>
      <w:tblPr>
        <w:tblW w:w="4997" w:type="pct"/>
        <w:tblLook w:val="04A0" w:firstRow="1" w:lastRow="0" w:firstColumn="1" w:lastColumn="0" w:noHBand="0" w:noVBand="1"/>
      </w:tblPr>
      <w:tblGrid>
        <w:gridCol w:w="3403"/>
        <w:gridCol w:w="2106"/>
        <w:gridCol w:w="1776"/>
        <w:gridCol w:w="1776"/>
      </w:tblGrid>
      <w:tr w:rsidR="001B3BCF" w:rsidRPr="00FA182D" w14:paraId="56AF9618" w14:textId="77777777" w:rsidTr="00E2123F">
        <w:trPr>
          <w:trHeight w:val="428"/>
        </w:trPr>
        <w:tc>
          <w:tcPr>
            <w:tcW w:w="1878" w:type="pct"/>
          </w:tcPr>
          <w:p w14:paraId="0D8C0148" w14:textId="77777777" w:rsidR="001B3BCF" w:rsidRPr="00FA182D" w:rsidRDefault="001B3BCF" w:rsidP="00E2123F">
            <w:pPr>
              <w:pStyle w:val="ClientNormal"/>
              <w:spacing w:before="240"/>
              <w:rPr>
                <w:rFonts w:ascii="Calibri" w:eastAsia="Calibri" w:hAnsi="Calibri"/>
                <w:sz w:val="18"/>
                <w:szCs w:val="18"/>
              </w:rPr>
            </w:pPr>
            <w:r w:rsidRPr="00FA182D">
              <w:rPr>
                <w:rFonts w:ascii="Calibri" w:eastAsia="Calibri" w:hAnsi="Calibri"/>
                <w:sz w:val="18"/>
                <w:szCs w:val="18"/>
              </w:rPr>
              <w:t xml:space="preserve">in CZK thous. </w:t>
            </w:r>
          </w:p>
        </w:tc>
        <w:tc>
          <w:tcPr>
            <w:tcW w:w="1162" w:type="pct"/>
            <w:vAlign w:val="center"/>
          </w:tcPr>
          <w:p w14:paraId="4F19F11D" w14:textId="77777777" w:rsidR="001B3BCF" w:rsidRPr="00FA182D" w:rsidRDefault="001B3BCF" w:rsidP="00E2123F">
            <w:pPr>
              <w:pStyle w:val="ClientNormal"/>
              <w:spacing w:before="240"/>
              <w:jc w:val="right"/>
              <w:rPr>
                <w:rFonts w:ascii="Calibri" w:eastAsia="Calibri" w:hAnsi="Calibri"/>
                <w:sz w:val="18"/>
                <w:szCs w:val="18"/>
              </w:rPr>
            </w:pPr>
            <w:r w:rsidRPr="00FA182D">
              <w:rPr>
                <w:rFonts w:ascii="Calibri" w:eastAsia="Calibri" w:hAnsi="Calibri"/>
                <w:sz w:val="18"/>
                <w:szCs w:val="18"/>
              </w:rPr>
              <w:t>Q1 2021</w:t>
            </w:r>
          </w:p>
        </w:tc>
        <w:tc>
          <w:tcPr>
            <w:tcW w:w="980" w:type="pct"/>
            <w:vAlign w:val="center"/>
          </w:tcPr>
          <w:p w14:paraId="3143B218" w14:textId="77777777" w:rsidR="001B3BCF" w:rsidRPr="00FA182D" w:rsidRDefault="001B3BCF" w:rsidP="00E2123F">
            <w:pPr>
              <w:pStyle w:val="ClientNormal"/>
              <w:spacing w:before="240"/>
              <w:jc w:val="right"/>
              <w:rPr>
                <w:rFonts w:ascii="Calibri" w:eastAsia="Calibri" w:hAnsi="Calibri"/>
                <w:sz w:val="18"/>
                <w:szCs w:val="18"/>
              </w:rPr>
            </w:pPr>
            <w:r w:rsidRPr="00FA182D">
              <w:rPr>
                <w:rFonts w:ascii="Calibri" w:eastAsia="Calibri" w:hAnsi="Calibri"/>
                <w:sz w:val="18"/>
                <w:szCs w:val="18"/>
              </w:rPr>
              <w:t>Q1 2020</w:t>
            </w:r>
          </w:p>
        </w:tc>
        <w:tc>
          <w:tcPr>
            <w:tcW w:w="980" w:type="pct"/>
            <w:vAlign w:val="center"/>
          </w:tcPr>
          <w:p w14:paraId="0D14167E" w14:textId="77777777" w:rsidR="001B3BCF" w:rsidRPr="00FA182D" w:rsidRDefault="001B3BCF" w:rsidP="00E2123F">
            <w:pPr>
              <w:pStyle w:val="ClientNormal"/>
              <w:spacing w:before="240"/>
              <w:jc w:val="right"/>
              <w:rPr>
                <w:rFonts w:ascii="Calibri" w:eastAsia="Calibri" w:hAnsi="Calibri"/>
                <w:sz w:val="18"/>
                <w:szCs w:val="18"/>
              </w:rPr>
            </w:pPr>
            <w:r w:rsidRPr="00FA182D">
              <w:rPr>
                <w:rFonts w:ascii="Calibri" w:eastAsia="Calibri" w:hAnsi="Calibri"/>
                <w:sz w:val="18"/>
                <w:szCs w:val="18"/>
              </w:rPr>
              <w:t>change in %</w:t>
            </w:r>
          </w:p>
        </w:tc>
      </w:tr>
      <w:tr w:rsidR="001B3BCF" w:rsidRPr="00FA182D" w14:paraId="22B84134" w14:textId="77777777" w:rsidTr="00E2123F">
        <w:trPr>
          <w:trHeight w:val="283"/>
        </w:trPr>
        <w:tc>
          <w:tcPr>
            <w:tcW w:w="1878" w:type="pct"/>
            <w:vAlign w:val="center"/>
          </w:tcPr>
          <w:p w14:paraId="291E0B02" w14:textId="77777777" w:rsidR="001B3BCF" w:rsidRPr="00FA182D" w:rsidRDefault="001B3BCF" w:rsidP="00E2123F">
            <w:pPr>
              <w:pStyle w:val="ClientNormal"/>
              <w:tabs>
                <w:tab w:val="left" w:leader="dot" w:pos="5264"/>
              </w:tabs>
              <w:spacing w:line="260" w:lineRule="atLeast"/>
              <w:rPr>
                <w:rFonts w:ascii="Calibri" w:hAnsi="Calibri" w:cs="Calibri"/>
                <w:sz w:val="18"/>
                <w:szCs w:val="18"/>
              </w:rPr>
            </w:pPr>
            <w:r w:rsidRPr="00FA182D">
              <w:rPr>
                <w:rFonts w:ascii="Calibri" w:hAnsi="Calibri" w:cs="Calibri"/>
                <w:sz w:val="18"/>
                <w:szCs w:val="18"/>
              </w:rPr>
              <w:t>Revenues</w:t>
            </w:r>
          </w:p>
        </w:tc>
        <w:tc>
          <w:tcPr>
            <w:tcW w:w="1162" w:type="pct"/>
            <w:vAlign w:val="center"/>
          </w:tcPr>
          <w:p w14:paraId="009921F9" w14:textId="77777777" w:rsidR="001B3BCF" w:rsidRPr="00FA182D" w:rsidRDefault="001B3BCF" w:rsidP="00E2123F">
            <w:pPr>
              <w:pStyle w:val="ClientNormal"/>
              <w:jc w:val="right"/>
              <w:rPr>
                <w:rFonts w:ascii="Calibri" w:eastAsia="Calibri" w:hAnsi="Calibri" w:cs="Calibri"/>
                <w:sz w:val="18"/>
                <w:szCs w:val="20"/>
              </w:rPr>
            </w:pPr>
            <w:r w:rsidRPr="00FA182D">
              <w:rPr>
                <w:rFonts w:ascii="Calibri" w:hAnsi="Calibri" w:cs="Calibri"/>
                <w:sz w:val="18"/>
                <w:szCs w:val="20"/>
              </w:rPr>
              <w:t>2,033,760</w:t>
            </w:r>
          </w:p>
        </w:tc>
        <w:tc>
          <w:tcPr>
            <w:tcW w:w="980" w:type="pct"/>
            <w:vAlign w:val="center"/>
          </w:tcPr>
          <w:p w14:paraId="0DB9038F" w14:textId="77777777" w:rsidR="001B3BCF" w:rsidRPr="002970F7" w:rsidRDefault="001B3BCF" w:rsidP="00E2123F">
            <w:pPr>
              <w:pStyle w:val="ClientNormal"/>
              <w:jc w:val="right"/>
              <w:rPr>
                <w:rFonts w:ascii="Calibri" w:hAnsi="Calibri" w:cs="Calibri"/>
                <w:sz w:val="18"/>
                <w:szCs w:val="20"/>
              </w:rPr>
            </w:pPr>
            <w:r w:rsidRPr="002970F7">
              <w:rPr>
                <w:rFonts w:ascii="Calibri" w:hAnsi="Calibri" w:cs="Calibri"/>
                <w:sz w:val="18"/>
                <w:szCs w:val="20"/>
              </w:rPr>
              <w:t>1,242,243</w:t>
            </w:r>
          </w:p>
        </w:tc>
        <w:tc>
          <w:tcPr>
            <w:tcW w:w="980" w:type="pct"/>
            <w:vAlign w:val="center"/>
          </w:tcPr>
          <w:p w14:paraId="0DCA3DF9" w14:textId="77777777" w:rsidR="001B3BCF" w:rsidRPr="002970F7" w:rsidRDefault="001B3BCF" w:rsidP="00E2123F">
            <w:pPr>
              <w:pStyle w:val="ClientNormal"/>
              <w:jc w:val="right"/>
              <w:rPr>
                <w:rFonts w:ascii="Calibri" w:hAnsi="Calibri" w:cs="Calibri"/>
                <w:sz w:val="18"/>
                <w:szCs w:val="20"/>
              </w:rPr>
            </w:pPr>
            <w:r w:rsidRPr="002970F7">
              <w:rPr>
                <w:rFonts w:ascii="Calibri" w:hAnsi="Calibri" w:cs="Calibri"/>
                <w:sz w:val="18"/>
                <w:szCs w:val="20"/>
              </w:rPr>
              <w:t>63.7%</w:t>
            </w:r>
          </w:p>
        </w:tc>
      </w:tr>
      <w:tr w:rsidR="001B3BCF" w:rsidRPr="00FA182D" w14:paraId="7C5E3464" w14:textId="77777777" w:rsidTr="00E2123F">
        <w:trPr>
          <w:trHeight w:val="283"/>
        </w:trPr>
        <w:tc>
          <w:tcPr>
            <w:tcW w:w="1878" w:type="pct"/>
            <w:vAlign w:val="center"/>
          </w:tcPr>
          <w:p w14:paraId="11AA2B84" w14:textId="77777777" w:rsidR="001B3BCF" w:rsidRPr="00FA182D" w:rsidRDefault="001B3BCF" w:rsidP="00E2123F">
            <w:pPr>
              <w:pStyle w:val="ClientNormal"/>
              <w:tabs>
                <w:tab w:val="left" w:leader="dot" w:pos="5264"/>
              </w:tabs>
              <w:spacing w:line="260" w:lineRule="atLeast"/>
              <w:rPr>
                <w:rFonts w:ascii="Calibri" w:hAnsi="Calibri" w:cs="Calibri"/>
                <w:sz w:val="18"/>
                <w:szCs w:val="18"/>
              </w:rPr>
            </w:pPr>
            <w:r w:rsidRPr="00FA182D">
              <w:rPr>
                <w:rFonts w:ascii="Calibri" w:hAnsi="Calibri" w:cs="Calibri"/>
                <w:sz w:val="18"/>
                <w:szCs w:val="18"/>
              </w:rPr>
              <w:t>Operating profit</w:t>
            </w:r>
          </w:p>
        </w:tc>
        <w:tc>
          <w:tcPr>
            <w:tcW w:w="1162" w:type="pct"/>
            <w:vAlign w:val="center"/>
          </w:tcPr>
          <w:p w14:paraId="48542AF3" w14:textId="77777777" w:rsidR="001B3BCF" w:rsidRPr="00FA182D" w:rsidRDefault="001B3BCF" w:rsidP="00E2123F">
            <w:pPr>
              <w:pStyle w:val="ClientNormal"/>
              <w:jc w:val="right"/>
              <w:rPr>
                <w:rFonts w:ascii="Calibri" w:hAnsi="Calibri" w:cs="Calibri"/>
                <w:sz w:val="18"/>
                <w:szCs w:val="20"/>
              </w:rPr>
            </w:pPr>
            <w:r w:rsidRPr="00FA182D">
              <w:rPr>
                <w:rFonts w:ascii="Calibri" w:hAnsi="Calibri" w:cs="Calibri"/>
                <w:sz w:val="18"/>
                <w:szCs w:val="20"/>
              </w:rPr>
              <w:t>334,926</w:t>
            </w:r>
          </w:p>
        </w:tc>
        <w:tc>
          <w:tcPr>
            <w:tcW w:w="980" w:type="pct"/>
            <w:vAlign w:val="center"/>
          </w:tcPr>
          <w:p w14:paraId="6000931D" w14:textId="77777777" w:rsidR="001B3BCF" w:rsidRPr="002970F7" w:rsidRDefault="001B3BCF" w:rsidP="00E2123F">
            <w:pPr>
              <w:pStyle w:val="ClientNormal"/>
              <w:jc w:val="right"/>
              <w:rPr>
                <w:rFonts w:ascii="Calibri" w:hAnsi="Calibri" w:cs="Calibri"/>
                <w:sz w:val="18"/>
                <w:szCs w:val="20"/>
              </w:rPr>
            </w:pPr>
            <w:r w:rsidRPr="002970F7">
              <w:rPr>
                <w:rFonts w:ascii="Calibri" w:hAnsi="Calibri" w:cs="Calibri"/>
                <w:sz w:val="18"/>
                <w:szCs w:val="20"/>
              </w:rPr>
              <w:t>105,793</w:t>
            </w:r>
          </w:p>
        </w:tc>
        <w:tc>
          <w:tcPr>
            <w:tcW w:w="980" w:type="pct"/>
            <w:vAlign w:val="center"/>
          </w:tcPr>
          <w:p w14:paraId="1118B82C" w14:textId="77777777" w:rsidR="001B3BCF" w:rsidRPr="002970F7" w:rsidRDefault="001B3BCF" w:rsidP="00E2123F">
            <w:pPr>
              <w:pStyle w:val="ClientNormal"/>
              <w:jc w:val="right"/>
              <w:rPr>
                <w:rFonts w:ascii="Calibri" w:hAnsi="Calibri" w:cs="Calibri"/>
                <w:sz w:val="18"/>
                <w:szCs w:val="20"/>
              </w:rPr>
            </w:pPr>
            <w:r w:rsidRPr="002970F7">
              <w:rPr>
                <w:rFonts w:ascii="Calibri" w:hAnsi="Calibri" w:cs="Calibri"/>
                <w:sz w:val="18"/>
                <w:szCs w:val="20"/>
              </w:rPr>
              <w:t>216.6%</w:t>
            </w:r>
          </w:p>
        </w:tc>
      </w:tr>
      <w:tr w:rsidR="001B3BCF" w:rsidRPr="00FA182D" w14:paraId="1D08822E" w14:textId="77777777" w:rsidTr="00E2123F">
        <w:trPr>
          <w:trHeight w:val="283"/>
        </w:trPr>
        <w:tc>
          <w:tcPr>
            <w:tcW w:w="1878" w:type="pct"/>
            <w:vAlign w:val="center"/>
          </w:tcPr>
          <w:p w14:paraId="450CDA50" w14:textId="77777777" w:rsidR="001B3BCF" w:rsidRPr="00FA182D" w:rsidRDefault="001B3BCF" w:rsidP="00E2123F">
            <w:pPr>
              <w:pStyle w:val="ClientNormal"/>
              <w:tabs>
                <w:tab w:val="left" w:leader="dot" w:pos="5264"/>
              </w:tabs>
              <w:rPr>
                <w:rFonts w:ascii="Calibri" w:hAnsi="Calibri" w:cs="Calibri"/>
                <w:sz w:val="18"/>
                <w:szCs w:val="18"/>
              </w:rPr>
            </w:pPr>
            <w:r w:rsidRPr="00FA182D">
              <w:rPr>
                <w:rFonts w:ascii="Calibri" w:hAnsi="Calibri" w:cs="Calibri"/>
                <w:sz w:val="18"/>
                <w:szCs w:val="18"/>
              </w:rPr>
              <w:t>Profit before tax</w:t>
            </w:r>
          </w:p>
        </w:tc>
        <w:tc>
          <w:tcPr>
            <w:tcW w:w="1162" w:type="pct"/>
            <w:vAlign w:val="center"/>
          </w:tcPr>
          <w:p w14:paraId="191FFDD1" w14:textId="77777777" w:rsidR="001B3BCF" w:rsidRPr="00FA182D" w:rsidRDefault="001B3BCF" w:rsidP="00E2123F">
            <w:pPr>
              <w:pStyle w:val="ClientNormal"/>
              <w:jc w:val="right"/>
              <w:rPr>
                <w:rFonts w:ascii="Calibri" w:hAnsi="Calibri" w:cs="Calibri"/>
                <w:sz w:val="18"/>
                <w:szCs w:val="20"/>
              </w:rPr>
            </w:pPr>
            <w:r w:rsidRPr="00FA182D">
              <w:rPr>
                <w:rFonts w:ascii="Calibri" w:hAnsi="Calibri" w:cs="Calibri"/>
                <w:sz w:val="18"/>
                <w:szCs w:val="20"/>
              </w:rPr>
              <w:t>361,602</w:t>
            </w:r>
          </w:p>
        </w:tc>
        <w:tc>
          <w:tcPr>
            <w:tcW w:w="980" w:type="pct"/>
            <w:vAlign w:val="center"/>
          </w:tcPr>
          <w:p w14:paraId="7B58EABA" w14:textId="77777777" w:rsidR="001B3BCF" w:rsidRPr="002970F7" w:rsidRDefault="001B3BCF" w:rsidP="00E2123F">
            <w:pPr>
              <w:pStyle w:val="ClientNormal"/>
              <w:jc w:val="right"/>
              <w:rPr>
                <w:rFonts w:ascii="Calibri" w:hAnsi="Calibri" w:cs="Calibri"/>
                <w:sz w:val="18"/>
                <w:szCs w:val="20"/>
              </w:rPr>
            </w:pPr>
            <w:r w:rsidRPr="002970F7">
              <w:rPr>
                <w:rFonts w:ascii="Calibri" w:hAnsi="Calibri" w:cs="Calibri"/>
                <w:sz w:val="18"/>
                <w:szCs w:val="20"/>
              </w:rPr>
              <w:t>(66,339)</w:t>
            </w:r>
          </w:p>
        </w:tc>
        <w:tc>
          <w:tcPr>
            <w:tcW w:w="980" w:type="pct"/>
            <w:vAlign w:val="center"/>
          </w:tcPr>
          <w:p w14:paraId="1D31DD6E" w14:textId="77777777" w:rsidR="001B3BCF" w:rsidRPr="002970F7" w:rsidRDefault="001B3BCF" w:rsidP="00E2123F">
            <w:pPr>
              <w:pStyle w:val="ClientNormal"/>
              <w:jc w:val="right"/>
              <w:rPr>
                <w:rFonts w:ascii="Calibri" w:hAnsi="Calibri" w:cs="Calibri"/>
                <w:sz w:val="18"/>
                <w:szCs w:val="20"/>
              </w:rPr>
            </w:pPr>
            <w:r w:rsidRPr="002970F7">
              <w:rPr>
                <w:rFonts w:ascii="Calibri" w:hAnsi="Calibri" w:cs="Calibri"/>
                <w:sz w:val="18"/>
                <w:szCs w:val="20"/>
              </w:rPr>
              <w:t>n/a</w:t>
            </w:r>
          </w:p>
        </w:tc>
      </w:tr>
      <w:tr w:rsidR="001B3BCF" w:rsidRPr="00FA182D" w14:paraId="06B96E46" w14:textId="77777777" w:rsidTr="00E2123F">
        <w:trPr>
          <w:trHeight w:val="283"/>
        </w:trPr>
        <w:tc>
          <w:tcPr>
            <w:tcW w:w="1878" w:type="pct"/>
            <w:vAlign w:val="center"/>
          </w:tcPr>
          <w:p w14:paraId="6A76E18B" w14:textId="77777777" w:rsidR="001B3BCF" w:rsidRPr="00FA182D" w:rsidRDefault="001B3BCF" w:rsidP="00E2123F">
            <w:pPr>
              <w:pStyle w:val="ClientNormal"/>
              <w:tabs>
                <w:tab w:val="left" w:leader="dot" w:pos="5264"/>
              </w:tabs>
              <w:spacing w:line="260" w:lineRule="atLeast"/>
              <w:rPr>
                <w:rFonts w:ascii="Calibri" w:eastAsia="Calibri" w:hAnsi="Calibri"/>
                <w:b/>
                <w:bCs/>
                <w:sz w:val="18"/>
                <w:szCs w:val="18"/>
              </w:rPr>
            </w:pPr>
            <w:r w:rsidRPr="00FA182D">
              <w:rPr>
                <w:rFonts w:ascii="Calibri" w:eastAsia="Calibri" w:hAnsi="Calibri"/>
                <w:b/>
                <w:bCs/>
                <w:sz w:val="18"/>
                <w:szCs w:val="18"/>
              </w:rPr>
              <w:t>Profit for the period from continued operations</w:t>
            </w:r>
          </w:p>
        </w:tc>
        <w:tc>
          <w:tcPr>
            <w:tcW w:w="1162" w:type="pct"/>
            <w:vAlign w:val="center"/>
          </w:tcPr>
          <w:p w14:paraId="6DB79298" w14:textId="77777777" w:rsidR="001B3BCF" w:rsidRPr="00FA182D" w:rsidRDefault="001B3BCF" w:rsidP="00E2123F">
            <w:pPr>
              <w:pStyle w:val="ClientNormal"/>
              <w:jc w:val="right"/>
              <w:rPr>
                <w:rFonts w:ascii="Calibri" w:hAnsi="Calibri" w:cs="Calibri"/>
                <w:b/>
                <w:bCs/>
                <w:color w:val="000000"/>
                <w:sz w:val="18"/>
                <w:szCs w:val="18"/>
              </w:rPr>
            </w:pPr>
            <w:r w:rsidRPr="00FA182D">
              <w:rPr>
                <w:rFonts w:ascii="Calibri" w:hAnsi="Calibri" w:cs="Calibri"/>
                <w:b/>
                <w:bCs/>
                <w:color w:val="000000"/>
                <w:sz w:val="18"/>
                <w:szCs w:val="18"/>
              </w:rPr>
              <w:t>275,642</w:t>
            </w:r>
          </w:p>
        </w:tc>
        <w:tc>
          <w:tcPr>
            <w:tcW w:w="980" w:type="pct"/>
            <w:vAlign w:val="center"/>
          </w:tcPr>
          <w:p w14:paraId="367FD026" w14:textId="77777777" w:rsidR="001B3BCF" w:rsidRPr="00FA182D" w:rsidRDefault="001B3BCF" w:rsidP="00E2123F">
            <w:pPr>
              <w:pStyle w:val="ClientNormal"/>
              <w:jc w:val="right"/>
              <w:rPr>
                <w:rFonts w:ascii="Calibri" w:hAnsi="Calibri" w:cs="Calibri"/>
                <w:b/>
                <w:bCs/>
                <w:color w:val="000000"/>
                <w:sz w:val="18"/>
                <w:szCs w:val="18"/>
              </w:rPr>
            </w:pPr>
            <w:r w:rsidRPr="00FA182D">
              <w:rPr>
                <w:rFonts w:ascii="Calibri" w:hAnsi="Calibri" w:cs="Calibri"/>
                <w:b/>
                <w:bCs/>
                <w:color w:val="000000"/>
                <w:sz w:val="18"/>
                <w:szCs w:val="18"/>
              </w:rPr>
              <w:t>(59,108)</w:t>
            </w:r>
          </w:p>
        </w:tc>
        <w:tc>
          <w:tcPr>
            <w:tcW w:w="980" w:type="pct"/>
            <w:vAlign w:val="center"/>
          </w:tcPr>
          <w:p w14:paraId="60611041" w14:textId="77777777" w:rsidR="001B3BCF" w:rsidRPr="00FA182D" w:rsidRDefault="001B3BCF" w:rsidP="00E2123F">
            <w:pPr>
              <w:pStyle w:val="ClientNormal"/>
              <w:jc w:val="right"/>
              <w:rPr>
                <w:rFonts w:ascii="Calibri" w:hAnsi="Calibri" w:cs="Calibri"/>
                <w:b/>
                <w:bCs/>
                <w:color w:val="000000"/>
                <w:sz w:val="18"/>
                <w:szCs w:val="18"/>
              </w:rPr>
            </w:pPr>
            <w:r w:rsidRPr="00FA182D">
              <w:rPr>
                <w:rFonts w:ascii="Calibri" w:hAnsi="Calibri" w:cs="Calibri"/>
                <w:b/>
                <w:bCs/>
                <w:color w:val="000000"/>
                <w:sz w:val="18"/>
                <w:szCs w:val="18"/>
              </w:rPr>
              <w:t>n/a</w:t>
            </w:r>
          </w:p>
        </w:tc>
      </w:tr>
    </w:tbl>
    <w:p w14:paraId="12C8330C" w14:textId="77777777" w:rsidR="001B3BCF" w:rsidRPr="00FA182D" w:rsidRDefault="001B3BCF" w:rsidP="001B3BCF">
      <w:pPr>
        <w:pStyle w:val="DocText"/>
        <w:rPr>
          <w:rFonts w:ascii="Calibri" w:eastAsia="Calibri" w:hAnsi="Calibri"/>
          <w:sz w:val="18"/>
          <w:szCs w:val="18"/>
        </w:rPr>
      </w:pPr>
      <w:r w:rsidRPr="00FA182D">
        <w:rPr>
          <w:rFonts w:ascii="Calibri" w:eastAsia="Calibri" w:hAnsi="Calibri"/>
          <w:sz w:val="18"/>
          <w:szCs w:val="18"/>
        </w:rPr>
        <w:t>The following table sets forth a breakdown of the Group's revenues by region for the periods indicated.</w:t>
      </w:r>
    </w:p>
    <w:tbl>
      <w:tblPr>
        <w:tblW w:w="5000" w:type="pct"/>
        <w:tblLook w:val="04A0" w:firstRow="1" w:lastRow="0" w:firstColumn="1" w:lastColumn="0" w:noHBand="0" w:noVBand="1"/>
      </w:tblPr>
      <w:tblGrid>
        <w:gridCol w:w="3403"/>
        <w:gridCol w:w="2105"/>
        <w:gridCol w:w="1781"/>
        <w:gridCol w:w="1777"/>
      </w:tblGrid>
      <w:tr w:rsidR="001B3BCF" w:rsidRPr="00FA182D" w14:paraId="67A0B0A1" w14:textId="77777777" w:rsidTr="00E2123F">
        <w:trPr>
          <w:trHeight w:val="428"/>
        </w:trPr>
        <w:tc>
          <w:tcPr>
            <w:tcW w:w="1877" w:type="pct"/>
          </w:tcPr>
          <w:p w14:paraId="255B0F01" w14:textId="77777777" w:rsidR="001B3BCF" w:rsidRPr="00FA182D" w:rsidRDefault="001B3BCF" w:rsidP="00E2123F">
            <w:pPr>
              <w:pStyle w:val="ClientNormal"/>
              <w:spacing w:before="240"/>
              <w:rPr>
                <w:rFonts w:ascii="Calibri" w:eastAsia="Calibri" w:hAnsi="Calibri"/>
                <w:sz w:val="18"/>
                <w:szCs w:val="18"/>
              </w:rPr>
            </w:pPr>
            <w:r w:rsidRPr="00FA182D">
              <w:rPr>
                <w:rFonts w:ascii="Calibri" w:eastAsia="Calibri" w:hAnsi="Calibri"/>
                <w:sz w:val="18"/>
                <w:szCs w:val="18"/>
              </w:rPr>
              <w:t>in CZK thous.</w:t>
            </w:r>
          </w:p>
        </w:tc>
        <w:tc>
          <w:tcPr>
            <w:tcW w:w="1161" w:type="pct"/>
            <w:vAlign w:val="center"/>
          </w:tcPr>
          <w:p w14:paraId="315B6352" w14:textId="77777777" w:rsidR="001B3BCF" w:rsidRPr="00FA182D" w:rsidRDefault="001B3BCF" w:rsidP="00E2123F">
            <w:pPr>
              <w:pStyle w:val="ClientNormal"/>
              <w:spacing w:before="240"/>
              <w:jc w:val="right"/>
              <w:rPr>
                <w:rFonts w:ascii="Calibri" w:eastAsia="Calibri" w:hAnsi="Calibri"/>
                <w:sz w:val="18"/>
                <w:szCs w:val="18"/>
              </w:rPr>
            </w:pPr>
            <w:r w:rsidRPr="00FA182D">
              <w:rPr>
                <w:rFonts w:ascii="Calibri" w:eastAsia="Calibri" w:hAnsi="Calibri"/>
                <w:sz w:val="18"/>
                <w:szCs w:val="18"/>
              </w:rPr>
              <w:t>Q1 2021</w:t>
            </w:r>
          </w:p>
        </w:tc>
        <w:tc>
          <w:tcPr>
            <w:tcW w:w="982" w:type="pct"/>
            <w:vAlign w:val="center"/>
          </w:tcPr>
          <w:p w14:paraId="19FDFEFB" w14:textId="77777777" w:rsidR="001B3BCF" w:rsidRPr="00FA182D" w:rsidRDefault="001B3BCF" w:rsidP="00E2123F">
            <w:pPr>
              <w:pStyle w:val="ClientNormal"/>
              <w:spacing w:before="240"/>
              <w:jc w:val="right"/>
              <w:rPr>
                <w:rFonts w:ascii="Calibri" w:eastAsia="Calibri" w:hAnsi="Calibri"/>
                <w:sz w:val="18"/>
                <w:szCs w:val="18"/>
              </w:rPr>
            </w:pPr>
            <w:r w:rsidRPr="00FA182D">
              <w:rPr>
                <w:rFonts w:ascii="Calibri" w:eastAsia="Calibri" w:hAnsi="Calibri"/>
                <w:sz w:val="18"/>
                <w:szCs w:val="18"/>
              </w:rPr>
              <w:t>Q1 2020</w:t>
            </w:r>
          </w:p>
        </w:tc>
        <w:tc>
          <w:tcPr>
            <w:tcW w:w="980" w:type="pct"/>
            <w:vAlign w:val="center"/>
          </w:tcPr>
          <w:p w14:paraId="402BB3E2" w14:textId="77777777" w:rsidR="001B3BCF" w:rsidRPr="00FA182D" w:rsidRDefault="001B3BCF" w:rsidP="00E2123F">
            <w:pPr>
              <w:pStyle w:val="ClientNormal"/>
              <w:spacing w:before="240"/>
              <w:jc w:val="right"/>
              <w:rPr>
                <w:rFonts w:ascii="Calibri" w:eastAsia="Calibri" w:hAnsi="Calibri"/>
                <w:sz w:val="18"/>
                <w:szCs w:val="18"/>
              </w:rPr>
            </w:pPr>
            <w:r w:rsidRPr="00FA182D">
              <w:rPr>
                <w:rFonts w:ascii="Calibri" w:eastAsia="Calibri" w:hAnsi="Calibri"/>
                <w:sz w:val="18"/>
                <w:szCs w:val="18"/>
              </w:rPr>
              <w:t>change in %</w:t>
            </w:r>
          </w:p>
        </w:tc>
      </w:tr>
      <w:tr w:rsidR="001B3BCF" w:rsidRPr="00FA182D" w14:paraId="4DE7CAFD" w14:textId="77777777" w:rsidTr="00E2123F">
        <w:trPr>
          <w:trHeight w:val="283"/>
        </w:trPr>
        <w:tc>
          <w:tcPr>
            <w:tcW w:w="1877" w:type="pct"/>
            <w:vAlign w:val="bottom"/>
          </w:tcPr>
          <w:p w14:paraId="1AA4EDED" w14:textId="77777777" w:rsidR="001B3BCF" w:rsidRPr="00FA182D" w:rsidRDefault="001B3BCF" w:rsidP="00E2123F">
            <w:pPr>
              <w:pStyle w:val="ClientNormal"/>
              <w:tabs>
                <w:tab w:val="left" w:leader="dot" w:pos="5264"/>
              </w:tabs>
              <w:spacing w:line="260" w:lineRule="atLeast"/>
              <w:rPr>
                <w:rFonts w:ascii="Calibri" w:eastAsia="Calibri" w:hAnsi="Calibri"/>
                <w:sz w:val="18"/>
                <w:szCs w:val="18"/>
              </w:rPr>
            </w:pPr>
            <w:r w:rsidRPr="00FA182D">
              <w:rPr>
                <w:rFonts w:ascii="Calibri" w:eastAsia="Calibri" w:hAnsi="Calibri"/>
                <w:sz w:val="16"/>
                <w:szCs w:val="16"/>
              </w:rPr>
              <w:t>Czech Republic</w:t>
            </w:r>
          </w:p>
        </w:tc>
        <w:tc>
          <w:tcPr>
            <w:tcW w:w="1161" w:type="pct"/>
            <w:vAlign w:val="center"/>
          </w:tcPr>
          <w:p w14:paraId="444863FB" w14:textId="77777777" w:rsidR="001B3BCF" w:rsidRPr="00FA182D" w:rsidRDefault="001B3BCF" w:rsidP="00E2123F">
            <w:pPr>
              <w:pStyle w:val="ClientNormal"/>
              <w:jc w:val="right"/>
              <w:rPr>
                <w:rFonts w:ascii="Calibri" w:eastAsia="Calibri" w:hAnsi="Calibri"/>
                <w:sz w:val="18"/>
                <w:szCs w:val="18"/>
              </w:rPr>
            </w:pPr>
            <w:r w:rsidRPr="00FA182D">
              <w:rPr>
                <w:rFonts w:ascii="Calibri" w:hAnsi="Calibri" w:cs="Calibri"/>
                <w:color w:val="000000"/>
                <w:sz w:val="18"/>
                <w:szCs w:val="18"/>
              </w:rPr>
              <w:t>55,690</w:t>
            </w:r>
          </w:p>
        </w:tc>
        <w:tc>
          <w:tcPr>
            <w:tcW w:w="982" w:type="pct"/>
            <w:vAlign w:val="center"/>
          </w:tcPr>
          <w:p w14:paraId="28306795" w14:textId="77777777" w:rsidR="001B3BCF" w:rsidRPr="00FA182D" w:rsidRDefault="001B3BCF" w:rsidP="00E2123F">
            <w:pPr>
              <w:pStyle w:val="ClientNormal"/>
              <w:jc w:val="right"/>
              <w:rPr>
                <w:rFonts w:ascii="Calibri" w:eastAsia="Calibri" w:hAnsi="Calibri"/>
                <w:sz w:val="18"/>
                <w:szCs w:val="18"/>
              </w:rPr>
            </w:pPr>
            <w:r w:rsidRPr="00FA182D">
              <w:rPr>
                <w:rFonts w:ascii="Calibri" w:hAnsi="Calibri" w:cs="Calibri"/>
                <w:color w:val="000000"/>
                <w:sz w:val="18"/>
                <w:szCs w:val="18"/>
              </w:rPr>
              <w:t>61,156</w:t>
            </w:r>
          </w:p>
        </w:tc>
        <w:tc>
          <w:tcPr>
            <w:tcW w:w="980" w:type="pct"/>
            <w:vAlign w:val="center"/>
          </w:tcPr>
          <w:p w14:paraId="640278F9" w14:textId="77777777" w:rsidR="001B3BCF" w:rsidRPr="00FA182D" w:rsidRDefault="001B3BCF" w:rsidP="00E2123F">
            <w:pPr>
              <w:pStyle w:val="ClientNormal"/>
              <w:jc w:val="right"/>
              <w:rPr>
                <w:rFonts w:ascii="Calibri" w:hAnsi="Calibri" w:cs="Calibri"/>
                <w:color w:val="000000"/>
                <w:sz w:val="18"/>
                <w:szCs w:val="18"/>
              </w:rPr>
            </w:pPr>
            <w:r w:rsidRPr="00FA182D">
              <w:rPr>
                <w:rFonts w:ascii="Calibri" w:hAnsi="Calibri" w:cs="Calibri"/>
                <w:color w:val="000000"/>
                <w:sz w:val="18"/>
                <w:szCs w:val="18"/>
              </w:rPr>
              <w:t>(8,9%)</w:t>
            </w:r>
          </w:p>
        </w:tc>
      </w:tr>
      <w:tr w:rsidR="001B3BCF" w:rsidRPr="00FA182D" w14:paraId="5998F683" w14:textId="77777777" w:rsidTr="00E2123F">
        <w:trPr>
          <w:trHeight w:val="283"/>
        </w:trPr>
        <w:tc>
          <w:tcPr>
            <w:tcW w:w="1877" w:type="pct"/>
            <w:vAlign w:val="bottom"/>
          </w:tcPr>
          <w:p w14:paraId="50632047" w14:textId="77777777" w:rsidR="001B3BCF" w:rsidRPr="00FA182D" w:rsidRDefault="001B3BCF" w:rsidP="00E2123F">
            <w:pPr>
              <w:pStyle w:val="ClientNormal"/>
              <w:tabs>
                <w:tab w:val="left" w:leader="dot" w:pos="5264"/>
              </w:tabs>
              <w:spacing w:line="260" w:lineRule="atLeast"/>
              <w:rPr>
                <w:rFonts w:ascii="Calibri" w:eastAsia="Calibri" w:hAnsi="Calibri"/>
                <w:sz w:val="18"/>
                <w:szCs w:val="18"/>
              </w:rPr>
            </w:pPr>
            <w:r w:rsidRPr="00FA182D">
              <w:rPr>
                <w:rFonts w:ascii="Calibri" w:eastAsia="Calibri" w:hAnsi="Calibri"/>
                <w:sz w:val="16"/>
                <w:szCs w:val="16"/>
              </w:rPr>
              <w:t>United States</w:t>
            </w:r>
          </w:p>
        </w:tc>
        <w:tc>
          <w:tcPr>
            <w:tcW w:w="1161" w:type="pct"/>
            <w:vAlign w:val="center"/>
          </w:tcPr>
          <w:p w14:paraId="05DA31DE" w14:textId="77777777" w:rsidR="001B3BCF" w:rsidRPr="00FA182D" w:rsidRDefault="001B3BCF" w:rsidP="00E2123F">
            <w:pPr>
              <w:pStyle w:val="ClientNormal"/>
              <w:jc w:val="right"/>
              <w:rPr>
                <w:rFonts w:ascii="Calibri" w:eastAsia="Calibri" w:hAnsi="Calibri"/>
                <w:sz w:val="18"/>
                <w:szCs w:val="18"/>
              </w:rPr>
            </w:pPr>
            <w:r w:rsidRPr="00FA182D">
              <w:rPr>
                <w:rFonts w:ascii="Calibri" w:hAnsi="Calibri" w:cs="Calibri"/>
                <w:color w:val="000000"/>
                <w:sz w:val="18"/>
                <w:szCs w:val="18"/>
              </w:rPr>
              <w:t>1,362,462</w:t>
            </w:r>
          </w:p>
        </w:tc>
        <w:tc>
          <w:tcPr>
            <w:tcW w:w="982" w:type="pct"/>
            <w:vAlign w:val="center"/>
          </w:tcPr>
          <w:p w14:paraId="1EB7BE9C" w14:textId="77777777" w:rsidR="001B3BCF" w:rsidRPr="00FA182D" w:rsidRDefault="001B3BCF" w:rsidP="00E2123F">
            <w:pPr>
              <w:pStyle w:val="ClientNormal"/>
              <w:jc w:val="right"/>
              <w:rPr>
                <w:rFonts w:ascii="Calibri" w:eastAsia="Calibri" w:hAnsi="Calibri"/>
                <w:sz w:val="18"/>
                <w:szCs w:val="18"/>
              </w:rPr>
            </w:pPr>
            <w:r w:rsidRPr="00FA182D">
              <w:rPr>
                <w:rFonts w:ascii="Calibri" w:hAnsi="Calibri" w:cs="Calibri"/>
                <w:color w:val="000000"/>
                <w:sz w:val="18"/>
                <w:szCs w:val="18"/>
              </w:rPr>
              <w:t>912,705</w:t>
            </w:r>
          </w:p>
        </w:tc>
        <w:tc>
          <w:tcPr>
            <w:tcW w:w="980" w:type="pct"/>
            <w:vAlign w:val="center"/>
          </w:tcPr>
          <w:p w14:paraId="0A18198D" w14:textId="77777777" w:rsidR="001B3BCF" w:rsidRPr="00FA182D" w:rsidRDefault="001B3BCF" w:rsidP="00E2123F">
            <w:pPr>
              <w:pStyle w:val="ClientNormal"/>
              <w:jc w:val="right"/>
              <w:rPr>
                <w:rFonts w:ascii="Calibri" w:hAnsi="Calibri" w:cs="Calibri"/>
                <w:color w:val="000000"/>
                <w:sz w:val="18"/>
                <w:szCs w:val="18"/>
              </w:rPr>
            </w:pPr>
            <w:r w:rsidRPr="00FA182D">
              <w:rPr>
                <w:rFonts w:ascii="Calibri" w:hAnsi="Calibri" w:cs="Calibri"/>
                <w:color w:val="000000"/>
                <w:sz w:val="18"/>
                <w:szCs w:val="18"/>
              </w:rPr>
              <w:t>49.3%</w:t>
            </w:r>
          </w:p>
        </w:tc>
      </w:tr>
      <w:tr w:rsidR="001B3BCF" w:rsidRPr="00FA182D" w14:paraId="428474B9" w14:textId="77777777" w:rsidTr="00E2123F">
        <w:trPr>
          <w:trHeight w:val="283"/>
        </w:trPr>
        <w:tc>
          <w:tcPr>
            <w:tcW w:w="1877" w:type="pct"/>
            <w:vAlign w:val="bottom"/>
          </w:tcPr>
          <w:p w14:paraId="5C35D395" w14:textId="77777777" w:rsidR="001B3BCF" w:rsidRPr="00FA182D" w:rsidRDefault="001B3BCF" w:rsidP="00E2123F">
            <w:pPr>
              <w:pStyle w:val="ClientNormal"/>
              <w:tabs>
                <w:tab w:val="left" w:leader="dot" w:pos="5264"/>
              </w:tabs>
              <w:spacing w:line="260" w:lineRule="atLeast"/>
              <w:rPr>
                <w:rFonts w:ascii="Calibri" w:eastAsia="Calibri" w:hAnsi="Calibri"/>
                <w:sz w:val="18"/>
                <w:szCs w:val="18"/>
              </w:rPr>
            </w:pPr>
            <w:r w:rsidRPr="00FA182D">
              <w:rPr>
                <w:rFonts w:ascii="Calibri" w:eastAsia="Calibri" w:hAnsi="Calibri"/>
                <w:sz w:val="16"/>
                <w:szCs w:val="16"/>
              </w:rPr>
              <w:t>Europe (excl. the Czech Republic)</w:t>
            </w:r>
          </w:p>
        </w:tc>
        <w:tc>
          <w:tcPr>
            <w:tcW w:w="1161" w:type="pct"/>
            <w:vAlign w:val="center"/>
          </w:tcPr>
          <w:p w14:paraId="1802ECB9" w14:textId="77777777" w:rsidR="001B3BCF" w:rsidRPr="00FA182D" w:rsidRDefault="001B3BCF" w:rsidP="00E2123F">
            <w:pPr>
              <w:pStyle w:val="ClientNormal"/>
              <w:jc w:val="right"/>
              <w:rPr>
                <w:rFonts w:ascii="Calibri" w:eastAsia="Calibri" w:hAnsi="Calibri"/>
                <w:sz w:val="18"/>
                <w:szCs w:val="18"/>
              </w:rPr>
            </w:pPr>
            <w:r w:rsidRPr="00FA182D">
              <w:rPr>
                <w:rFonts w:ascii="Calibri" w:hAnsi="Calibri" w:cs="Calibri"/>
                <w:color w:val="000000"/>
                <w:sz w:val="18"/>
                <w:szCs w:val="18"/>
              </w:rPr>
              <w:t>221,285</w:t>
            </w:r>
          </w:p>
        </w:tc>
        <w:tc>
          <w:tcPr>
            <w:tcW w:w="982" w:type="pct"/>
            <w:vAlign w:val="center"/>
          </w:tcPr>
          <w:p w14:paraId="434036C5" w14:textId="77777777" w:rsidR="001B3BCF" w:rsidRPr="00FA182D" w:rsidRDefault="001B3BCF" w:rsidP="00E2123F">
            <w:pPr>
              <w:pStyle w:val="ClientNormal"/>
              <w:jc w:val="right"/>
              <w:rPr>
                <w:rFonts w:ascii="Calibri" w:eastAsia="Calibri" w:hAnsi="Calibri"/>
                <w:sz w:val="18"/>
                <w:szCs w:val="18"/>
              </w:rPr>
            </w:pPr>
            <w:r w:rsidRPr="00FA182D">
              <w:rPr>
                <w:rFonts w:ascii="Calibri" w:hAnsi="Calibri" w:cs="Calibri"/>
                <w:color w:val="000000"/>
                <w:sz w:val="18"/>
                <w:szCs w:val="18"/>
              </w:rPr>
              <w:t>126,376</w:t>
            </w:r>
          </w:p>
        </w:tc>
        <w:tc>
          <w:tcPr>
            <w:tcW w:w="980" w:type="pct"/>
            <w:vAlign w:val="center"/>
          </w:tcPr>
          <w:p w14:paraId="1181FAF0" w14:textId="77777777" w:rsidR="001B3BCF" w:rsidRPr="00FA182D" w:rsidRDefault="001B3BCF" w:rsidP="00E2123F">
            <w:pPr>
              <w:pStyle w:val="ClientNormal"/>
              <w:jc w:val="right"/>
              <w:rPr>
                <w:rFonts w:ascii="Calibri" w:hAnsi="Calibri" w:cs="Calibri"/>
                <w:color w:val="000000"/>
                <w:sz w:val="18"/>
                <w:szCs w:val="18"/>
              </w:rPr>
            </w:pPr>
            <w:r w:rsidRPr="00FA182D">
              <w:rPr>
                <w:rFonts w:ascii="Calibri" w:hAnsi="Calibri" w:cs="Calibri"/>
                <w:color w:val="000000"/>
                <w:sz w:val="18"/>
                <w:szCs w:val="18"/>
              </w:rPr>
              <w:t>75.1%</w:t>
            </w:r>
          </w:p>
        </w:tc>
      </w:tr>
      <w:tr w:rsidR="001B3BCF" w:rsidRPr="00FA182D" w14:paraId="170AEC59" w14:textId="77777777" w:rsidTr="00E2123F">
        <w:trPr>
          <w:trHeight w:val="283"/>
        </w:trPr>
        <w:tc>
          <w:tcPr>
            <w:tcW w:w="1877" w:type="pct"/>
            <w:vAlign w:val="bottom"/>
          </w:tcPr>
          <w:p w14:paraId="6E7EA523" w14:textId="77777777" w:rsidR="001B3BCF" w:rsidRPr="00FA182D" w:rsidRDefault="001B3BCF" w:rsidP="00E2123F">
            <w:pPr>
              <w:pStyle w:val="ClientNormal"/>
              <w:tabs>
                <w:tab w:val="left" w:leader="dot" w:pos="5264"/>
              </w:tabs>
              <w:spacing w:line="260" w:lineRule="atLeast"/>
              <w:rPr>
                <w:rFonts w:ascii="Calibri" w:eastAsia="Calibri" w:hAnsi="Calibri"/>
                <w:sz w:val="18"/>
                <w:szCs w:val="18"/>
              </w:rPr>
            </w:pPr>
            <w:r w:rsidRPr="00FA182D">
              <w:rPr>
                <w:rFonts w:ascii="Calibri" w:eastAsia="Calibri" w:hAnsi="Calibri"/>
                <w:sz w:val="16"/>
                <w:szCs w:val="16"/>
              </w:rPr>
              <w:t>Africa</w:t>
            </w:r>
          </w:p>
        </w:tc>
        <w:tc>
          <w:tcPr>
            <w:tcW w:w="1161" w:type="pct"/>
            <w:vAlign w:val="center"/>
          </w:tcPr>
          <w:p w14:paraId="0B9217F2" w14:textId="77777777" w:rsidR="001B3BCF" w:rsidRPr="00FA182D" w:rsidRDefault="001B3BCF" w:rsidP="00E2123F">
            <w:pPr>
              <w:pStyle w:val="ClientNormal"/>
              <w:jc w:val="right"/>
              <w:rPr>
                <w:rFonts w:ascii="Calibri" w:eastAsia="Calibri" w:hAnsi="Calibri"/>
                <w:sz w:val="18"/>
                <w:szCs w:val="18"/>
              </w:rPr>
            </w:pPr>
            <w:r w:rsidRPr="00FA182D">
              <w:rPr>
                <w:rFonts w:ascii="Calibri" w:hAnsi="Calibri" w:cs="Calibri"/>
                <w:color w:val="000000"/>
                <w:sz w:val="18"/>
                <w:szCs w:val="18"/>
              </w:rPr>
              <w:t>181,419</w:t>
            </w:r>
          </w:p>
        </w:tc>
        <w:tc>
          <w:tcPr>
            <w:tcW w:w="982" w:type="pct"/>
            <w:vAlign w:val="center"/>
          </w:tcPr>
          <w:p w14:paraId="7EAD4580" w14:textId="77777777" w:rsidR="001B3BCF" w:rsidRPr="00FA182D" w:rsidRDefault="001B3BCF" w:rsidP="00E2123F">
            <w:pPr>
              <w:pStyle w:val="ClientNormal"/>
              <w:jc w:val="right"/>
              <w:rPr>
                <w:rFonts w:ascii="Calibri" w:eastAsia="Calibri" w:hAnsi="Calibri"/>
                <w:sz w:val="18"/>
                <w:szCs w:val="18"/>
              </w:rPr>
            </w:pPr>
            <w:r w:rsidRPr="00FA182D">
              <w:rPr>
                <w:rFonts w:ascii="Calibri" w:hAnsi="Calibri" w:cs="Calibri"/>
                <w:color w:val="000000"/>
                <w:sz w:val="18"/>
                <w:szCs w:val="18"/>
              </w:rPr>
              <w:t>52,125</w:t>
            </w:r>
          </w:p>
        </w:tc>
        <w:tc>
          <w:tcPr>
            <w:tcW w:w="980" w:type="pct"/>
            <w:vAlign w:val="center"/>
          </w:tcPr>
          <w:p w14:paraId="58502E3E" w14:textId="77777777" w:rsidR="001B3BCF" w:rsidRPr="00FA182D" w:rsidRDefault="001B3BCF" w:rsidP="00E2123F">
            <w:pPr>
              <w:pStyle w:val="ClientNormal"/>
              <w:jc w:val="right"/>
              <w:rPr>
                <w:rFonts w:ascii="Calibri" w:hAnsi="Calibri" w:cs="Calibri"/>
                <w:color w:val="000000"/>
                <w:sz w:val="18"/>
                <w:szCs w:val="18"/>
              </w:rPr>
            </w:pPr>
            <w:r w:rsidRPr="00FA182D">
              <w:rPr>
                <w:rFonts w:ascii="Calibri" w:hAnsi="Calibri" w:cs="Calibri"/>
                <w:color w:val="000000"/>
                <w:sz w:val="18"/>
                <w:szCs w:val="18"/>
              </w:rPr>
              <w:t>248.0%</w:t>
            </w:r>
          </w:p>
        </w:tc>
      </w:tr>
      <w:tr w:rsidR="001B3BCF" w:rsidRPr="00FA182D" w14:paraId="12D922A7" w14:textId="77777777" w:rsidTr="00E2123F">
        <w:trPr>
          <w:trHeight w:val="283"/>
        </w:trPr>
        <w:tc>
          <w:tcPr>
            <w:tcW w:w="1877" w:type="pct"/>
            <w:vAlign w:val="bottom"/>
          </w:tcPr>
          <w:p w14:paraId="1919D46C" w14:textId="77777777" w:rsidR="001B3BCF" w:rsidRPr="00FA182D" w:rsidRDefault="001B3BCF" w:rsidP="00E2123F">
            <w:pPr>
              <w:pStyle w:val="ClientNormal"/>
              <w:tabs>
                <w:tab w:val="left" w:leader="dot" w:pos="5264"/>
              </w:tabs>
              <w:spacing w:line="260" w:lineRule="atLeast"/>
              <w:rPr>
                <w:rFonts w:ascii="Calibri" w:eastAsia="Calibri" w:hAnsi="Calibri"/>
                <w:sz w:val="18"/>
                <w:szCs w:val="18"/>
              </w:rPr>
            </w:pPr>
            <w:r w:rsidRPr="00FA182D">
              <w:rPr>
                <w:rFonts w:ascii="Calibri" w:eastAsia="Calibri" w:hAnsi="Calibri"/>
                <w:sz w:val="16"/>
                <w:szCs w:val="16"/>
              </w:rPr>
              <w:t>Asia</w:t>
            </w:r>
          </w:p>
        </w:tc>
        <w:tc>
          <w:tcPr>
            <w:tcW w:w="1161" w:type="pct"/>
            <w:vAlign w:val="center"/>
          </w:tcPr>
          <w:p w14:paraId="0EF6EEA8" w14:textId="77777777" w:rsidR="001B3BCF" w:rsidRPr="00FA182D" w:rsidRDefault="001B3BCF" w:rsidP="00E2123F">
            <w:pPr>
              <w:pStyle w:val="ClientNormal"/>
              <w:jc w:val="right"/>
              <w:rPr>
                <w:rFonts w:ascii="Calibri" w:eastAsia="Calibri" w:hAnsi="Calibri"/>
                <w:sz w:val="18"/>
                <w:szCs w:val="18"/>
              </w:rPr>
            </w:pPr>
            <w:r w:rsidRPr="00FA182D">
              <w:rPr>
                <w:rFonts w:ascii="Calibri" w:hAnsi="Calibri" w:cs="Calibri"/>
                <w:color w:val="000000"/>
                <w:sz w:val="18"/>
                <w:szCs w:val="18"/>
              </w:rPr>
              <w:t>137,949</w:t>
            </w:r>
          </w:p>
        </w:tc>
        <w:tc>
          <w:tcPr>
            <w:tcW w:w="982" w:type="pct"/>
            <w:vAlign w:val="center"/>
          </w:tcPr>
          <w:p w14:paraId="322E5815" w14:textId="77777777" w:rsidR="001B3BCF" w:rsidRPr="00FA182D" w:rsidRDefault="001B3BCF" w:rsidP="00E2123F">
            <w:pPr>
              <w:pStyle w:val="ClientNormal"/>
              <w:jc w:val="right"/>
              <w:rPr>
                <w:rFonts w:ascii="Calibri" w:eastAsia="Calibri" w:hAnsi="Calibri"/>
                <w:sz w:val="18"/>
                <w:szCs w:val="18"/>
              </w:rPr>
            </w:pPr>
            <w:r w:rsidRPr="00FA182D">
              <w:rPr>
                <w:rFonts w:ascii="Calibri" w:hAnsi="Calibri" w:cs="Calibri"/>
                <w:color w:val="000000"/>
                <w:sz w:val="18"/>
                <w:szCs w:val="18"/>
              </w:rPr>
              <w:t>47,012</w:t>
            </w:r>
          </w:p>
        </w:tc>
        <w:tc>
          <w:tcPr>
            <w:tcW w:w="980" w:type="pct"/>
            <w:vAlign w:val="center"/>
          </w:tcPr>
          <w:p w14:paraId="36F5E82F" w14:textId="77777777" w:rsidR="001B3BCF" w:rsidRPr="00FA182D" w:rsidRDefault="001B3BCF" w:rsidP="00E2123F">
            <w:pPr>
              <w:pStyle w:val="ClientNormal"/>
              <w:jc w:val="right"/>
              <w:rPr>
                <w:rFonts w:ascii="Calibri" w:hAnsi="Calibri" w:cs="Calibri"/>
                <w:color w:val="000000"/>
                <w:sz w:val="18"/>
                <w:szCs w:val="18"/>
              </w:rPr>
            </w:pPr>
            <w:r w:rsidRPr="00FA182D">
              <w:rPr>
                <w:rFonts w:ascii="Calibri" w:hAnsi="Calibri" w:cs="Calibri"/>
                <w:color w:val="000000"/>
                <w:sz w:val="18"/>
                <w:szCs w:val="18"/>
              </w:rPr>
              <w:t>193.4%</w:t>
            </w:r>
          </w:p>
        </w:tc>
      </w:tr>
      <w:tr w:rsidR="001B3BCF" w:rsidRPr="00FA182D" w14:paraId="7FB89374" w14:textId="77777777" w:rsidTr="00E2123F">
        <w:trPr>
          <w:trHeight w:val="283"/>
        </w:trPr>
        <w:tc>
          <w:tcPr>
            <w:tcW w:w="1877" w:type="pct"/>
            <w:vAlign w:val="bottom"/>
          </w:tcPr>
          <w:p w14:paraId="2F131066" w14:textId="77777777" w:rsidR="001B3BCF" w:rsidRPr="00FA182D" w:rsidRDefault="001B3BCF" w:rsidP="00E2123F">
            <w:pPr>
              <w:pStyle w:val="ClientNormal"/>
              <w:tabs>
                <w:tab w:val="left" w:leader="dot" w:pos="5264"/>
              </w:tabs>
              <w:spacing w:line="260" w:lineRule="atLeast"/>
              <w:rPr>
                <w:rFonts w:ascii="Calibri" w:eastAsia="Calibri" w:hAnsi="Calibri"/>
                <w:sz w:val="18"/>
                <w:szCs w:val="18"/>
              </w:rPr>
            </w:pPr>
            <w:r w:rsidRPr="00FA182D">
              <w:rPr>
                <w:rFonts w:ascii="Calibri" w:eastAsia="Calibri" w:hAnsi="Calibri"/>
                <w:sz w:val="16"/>
                <w:szCs w:val="16"/>
              </w:rPr>
              <w:t>Other</w:t>
            </w:r>
          </w:p>
        </w:tc>
        <w:tc>
          <w:tcPr>
            <w:tcW w:w="1161" w:type="pct"/>
            <w:vAlign w:val="center"/>
          </w:tcPr>
          <w:p w14:paraId="0968E795" w14:textId="77777777" w:rsidR="001B3BCF" w:rsidRPr="00FA182D" w:rsidRDefault="001B3BCF" w:rsidP="00E2123F">
            <w:pPr>
              <w:pStyle w:val="ClientNormal"/>
              <w:pBdr>
                <w:bottom w:val="single" w:sz="4" w:space="1" w:color="auto"/>
              </w:pBdr>
              <w:jc w:val="right"/>
              <w:rPr>
                <w:rFonts w:ascii="Calibri" w:eastAsia="Calibri" w:hAnsi="Calibri"/>
                <w:sz w:val="18"/>
                <w:szCs w:val="18"/>
              </w:rPr>
            </w:pPr>
            <w:r w:rsidRPr="00FA182D">
              <w:rPr>
                <w:rFonts w:ascii="Calibri" w:hAnsi="Calibri" w:cs="Calibri"/>
                <w:color w:val="000000"/>
                <w:sz w:val="18"/>
                <w:szCs w:val="18"/>
              </w:rPr>
              <w:t>74,955</w:t>
            </w:r>
          </w:p>
        </w:tc>
        <w:tc>
          <w:tcPr>
            <w:tcW w:w="982" w:type="pct"/>
            <w:vAlign w:val="center"/>
          </w:tcPr>
          <w:p w14:paraId="18890065" w14:textId="77777777" w:rsidR="001B3BCF" w:rsidRPr="00FA182D" w:rsidRDefault="001B3BCF" w:rsidP="00E2123F">
            <w:pPr>
              <w:pStyle w:val="ClientNormal"/>
              <w:pBdr>
                <w:bottom w:val="single" w:sz="4" w:space="1" w:color="auto"/>
              </w:pBdr>
              <w:jc w:val="right"/>
              <w:rPr>
                <w:rFonts w:ascii="Calibri" w:eastAsia="Calibri" w:hAnsi="Calibri"/>
                <w:sz w:val="18"/>
                <w:szCs w:val="18"/>
              </w:rPr>
            </w:pPr>
            <w:r w:rsidRPr="00FA182D">
              <w:rPr>
                <w:rFonts w:ascii="Calibri" w:hAnsi="Calibri" w:cs="Calibri"/>
                <w:color w:val="000000"/>
                <w:sz w:val="18"/>
                <w:szCs w:val="18"/>
              </w:rPr>
              <w:t>42,868</w:t>
            </w:r>
          </w:p>
        </w:tc>
        <w:tc>
          <w:tcPr>
            <w:tcW w:w="980" w:type="pct"/>
            <w:vAlign w:val="center"/>
          </w:tcPr>
          <w:p w14:paraId="5AE0DE2F" w14:textId="77777777" w:rsidR="001B3BCF" w:rsidRPr="00FA182D" w:rsidRDefault="001B3BCF" w:rsidP="00E2123F">
            <w:pPr>
              <w:pStyle w:val="ClientNormal"/>
              <w:pBdr>
                <w:bottom w:val="single" w:sz="4" w:space="1" w:color="auto"/>
              </w:pBdr>
              <w:jc w:val="right"/>
              <w:rPr>
                <w:rFonts w:ascii="Calibri" w:hAnsi="Calibri" w:cs="Calibri"/>
                <w:color w:val="000000"/>
                <w:sz w:val="18"/>
                <w:szCs w:val="18"/>
              </w:rPr>
            </w:pPr>
            <w:r w:rsidRPr="00FA182D">
              <w:rPr>
                <w:rFonts w:ascii="Calibri" w:hAnsi="Calibri" w:cs="Calibri"/>
                <w:color w:val="000000"/>
                <w:sz w:val="18"/>
                <w:szCs w:val="18"/>
              </w:rPr>
              <w:t>74.9%</w:t>
            </w:r>
          </w:p>
        </w:tc>
      </w:tr>
      <w:tr w:rsidR="001B3BCF" w:rsidRPr="00FA182D" w14:paraId="33CE330C" w14:textId="77777777" w:rsidTr="00E2123F">
        <w:trPr>
          <w:trHeight w:val="283"/>
        </w:trPr>
        <w:tc>
          <w:tcPr>
            <w:tcW w:w="1877" w:type="pct"/>
            <w:vAlign w:val="bottom"/>
          </w:tcPr>
          <w:p w14:paraId="66FDB5EF" w14:textId="77777777" w:rsidR="001B3BCF" w:rsidRPr="00FA182D" w:rsidRDefault="001B3BCF" w:rsidP="00E2123F">
            <w:pPr>
              <w:pStyle w:val="ClientNormal"/>
              <w:tabs>
                <w:tab w:val="left" w:leader="dot" w:pos="5264"/>
              </w:tabs>
              <w:spacing w:line="260" w:lineRule="atLeast"/>
              <w:rPr>
                <w:rFonts w:ascii="Calibri" w:eastAsia="Calibri" w:hAnsi="Calibri"/>
                <w:b/>
                <w:bCs/>
                <w:sz w:val="18"/>
                <w:szCs w:val="18"/>
              </w:rPr>
            </w:pPr>
            <w:r w:rsidRPr="00FA182D">
              <w:rPr>
                <w:rFonts w:ascii="Calibri" w:eastAsia="Calibri" w:hAnsi="Calibri"/>
                <w:b/>
                <w:bCs/>
                <w:sz w:val="16"/>
                <w:szCs w:val="16"/>
              </w:rPr>
              <w:t>Total</w:t>
            </w:r>
          </w:p>
        </w:tc>
        <w:tc>
          <w:tcPr>
            <w:tcW w:w="1161" w:type="pct"/>
            <w:vAlign w:val="center"/>
          </w:tcPr>
          <w:p w14:paraId="2E398823" w14:textId="77777777" w:rsidR="001B3BCF" w:rsidRPr="00FA182D" w:rsidRDefault="001B3BCF" w:rsidP="00E2123F">
            <w:pPr>
              <w:pStyle w:val="ClientNormal"/>
              <w:pBdr>
                <w:bottom w:val="double" w:sz="4" w:space="1" w:color="auto"/>
              </w:pBdr>
              <w:jc w:val="right"/>
              <w:rPr>
                <w:rFonts w:ascii="Calibri" w:eastAsia="Calibri" w:hAnsi="Calibri"/>
                <w:b/>
                <w:bCs/>
                <w:sz w:val="18"/>
                <w:szCs w:val="18"/>
              </w:rPr>
            </w:pPr>
            <w:r w:rsidRPr="00FA182D">
              <w:rPr>
                <w:rFonts w:ascii="Calibri" w:hAnsi="Calibri" w:cs="Calibri"/>
                <w:b/>
                <w:bCs/>
                <w:color w:val="000000"/>
                <w:sz w:val="18"/>
                <w:szCs w:val="18"/>
              </w:rPr>
              <w:t>2,033,760</w:t>
            </w:r>
          </w:p>
        </w:tc>
        <w:tc>
          <w:tcPr>
            <w:tcW w:w="982" w:type="pct"/>
            <w:vAlign w:val="center"/>
          </w:tcPr>
          <w:p w14:paraId="70287949" w14:textId="77777777" w:rsidR="001B3BCF" w:rsidRPr="00FA182D" w:rsidRDefault="001B3BCF" w:rsidP="00E2123F">
            <w:pPr>
              <w:pStyle w:val="ClientNormal"/>
              <w:pBdr>
                <w:bottom w:val="double" w:sz="4" w:space="1" w:color="auto"/>
              </w:pBdr>
              <w:jc w:val="right"/>
              <w:rPr>
                <w:rFonts w:ascii="Calibri" w:eastAsia="Calibri" w:hAnsi="Calibri"/>
                <w:b/>
                <w:bCs/>
                <w:sz w:val="18"/>
                <w:szCs w:val="18"/>
              </w:rPr>
            </w:pPr>
            <w:r w:rsidRPr="00FA182D">
              <w:rPr>
                <w:rFonts w:ascii="Calibri" w:hAnsi="Calibri" w:cs="Calibri"/>
                <w:b/>
                <w:bCs/>
                <w:color w:val="000000"/>
                <w:sz w:val="18"/>
                <w:szCs w:val="18"/>
              </w:rPr>
              <w:t>1,242,242</w:t>
            </w:r>
          </w:p>
        </w:tc>
        <w:tc>
          <w:tcPr>
            <w:tcW w:w="980" w:type="pct"/>
            <w:vAlign w:val="center"/>
          </w:tcPr>
          <w:p w14:paraId="5BC1C5CD" w14:textId="77777777" w:rsidR="001B3BCF" w:rsidRPr="00FA182D" w:rsidRDefault="001B3BCF" w:rsidP="00E2123F">
            <w:pPr>
              <w:pStyle w:val="ClientNormal"/>
              <w:pBdr>
                <w:bottom w:val="double" w:sz="4" w:space="1" w:color="auto"/>
              </w:pBdr>
              <w:jc w:val="right"/>
              <w:rPr>
                <w:rFonts w:ascii="Calibri" w:hAnsi="Calibri" w:cs="Calibri"/>
                <w:b/>
                <w:bCs/>
                <w:color w:val="000000"/>
                <w:sz w:val="18"/>
                <w:szCs w:val="18"/>
              </w:rPr>
            </w:pPr>
            <w:r w:rsidRPr="00FA182D">
              <w:rPr>
                <w:rFonts w:ascii="Calibri" w:hAnsi="Calibri" w:cs="Calibri"/>
                <w:b/>
                <w:bCs/>
                <w:color w:val="000000"/>
                <w:sz w:val="18"/>
                <w:szCs w:val="18"/>
              </w:rPr>
              <w:t>63.7%</w:t>
            </w:r>
          </w:p>
        </w:tc>
      </w:tr>
    </w:tbl>
    <w:bookmarkEnd w:id="0"/>
    <w:p w14:paraId="08892A94" w14:textId="77777777" w:rsidR="001B3BCF" w:rsidRPr="00FA182D" w:rsidRDefault="001B3BCF" w:rsidP="001B3BCF">
      <w:pPr>
        <w:pStyle w:val="DocText"/>
        <w:rPr>
          <w:rFonts w:ascii="Calibri" w:eastAsia="Calibri" w:hAnsi="Calibri"/>
          <w:sz w:val="18"/>
          <w:szCs w:val="18"/>
        </w:rPr>
      </w:pPr>
      <w:r w:rsidRPr="00FA182D">
        <w:rPr>
          <w:rFonts w:ascii="Calibri" w:eastAsia="Calibri" w:hAnsi="Calibri"/>
          <w:sz w:val="18"/>
          <w:szCs w:val="18"/>
        </w:rPr>
        <w:t>The breakdown of the Group's firearm units sold by type:</w:t>
      </w:r>
    </w:p>
    <w:tbl>
      <w:tblPr>
        <w:tblW w:w="5000" w:type="pct"/>
        <w:tblLook w:val="04A0" w:firstRow="1" w:lastRow="0" w:firstColumn="1" w:lastColumn="0" w:noHBand="0" w:noVBand="1"/>
      </w:tblPr>
      <w:tblGrid>
        <w:gridCol w:w="3401"/>
        <w:gridCol w:w="2103"/>
        <w:gridCol w:w="1781"/>
        <w:gridCol w:w="1781"/>
      </w:tblGrid>
      <w:tr w:rsidR="001B3BCF" w:rsidRPr="00FA182D" w14:paraId="473DFB5D" w14:textId="77777777" w:rsidTr="00E2123F">
        <w:trPr>
          <w:trHeight w:val="464"/>
        </w:trPr>
        <w:tc>
          <w:tcPr>
            <w:tcW w:w="1876" w:type="pct"/>
            <w:vAlign w:val="center"/>
          </w:tcPr>
          <w:p w14:paraId="113333BB" w14:textId="77777777" w:rsidR="001B3BCF" w:rsidRPr="00FA182D" w:rsidRDefault="001B3BCF" w:rsidP="00E2123F">
            <w:pPr>
              <w:pStyle w:val="ClientNormal"/>
              <w:rPr>
                <w:rFonts w:ascii="Calibri" w:eastAsia="Calibri" w:hAnsi="Calibri"/>
                <w:sz w:val="18"/>
                <w:szCs w:val="18"/>
              </w:rPr>
            </w:pPr>
            <w:r w:rsidRPr="00FA182D">
              <w:rPr>
                <w:rFonts w:ascii="Calibri" w:eastAsia="Calibri" w:hAnsi="Calibri"/>
                <w:sz w:val="18"/>
                <w:szCs w:val="18"/>
              </w:rPr>
              <w:t>pieces</w:t>
            </w:r>
          </w:p>
        </w:tc>
        <w:tc>
          <w:tcPr>
            <w:tcW w:w="1160" w:type="pct"/>
            <w:vAlign w:val="center"/>
          </w:tcPr>
          <w:p w14:paraId="745436BE" w14:textId="77777777" w:rsidR="001B3BCF" w:rsidRPr="00FA182D" w:rsidRDefault="001B3BCF" w:rsidP="00E2123F">
            <w:pPr>
              <w:pStyle w:val="ClientNormal"/>
              <w:ind w:left="720"/>
              <w:jc w:val="right"/>
              <w:rPr>
                <w:rFonts w:ascii="Calibri" w:eastAsia="Calibri" w:hAnsi="Calibri"/>
                <w:sz w:val="18"/>
                <w:szCs w:val="18"/>
              </w:rPr>
            </w:pPr>
            <w:r w:rsidRPr="00FA182D">
              <w:rPr>
                <w:rFonts w:ascii="Calibri" w:eastAsia="Calibri" w:hAnsi="Calibri"/>
                <w:sz w:val="18"/>
                <w:szCs w:val="18"/>
              </w:rPr>
              <w:t>Q1 2021</w:t>
            </w:r>
          </w:p>
        </w:tc>
        <w:tc>
          <w:tcPr>
            <w:tcW w:w="982" w:type="pct"/>
            <w:vAlign w:val="center"/>
          </w:tcPr>
          <w:p w14:paraId="5DC4FE7F" w14:textId="77777777" w:rsidR="001B3BCF" w:rsidRPr="00FA182D" w:rsidRDefault="001B3BCF" w:rsidP="00E2123F">
            <w:pPr>
              <w:pStyle w:val="ClientNormal"/>
              <w:jc w:val="right"/>
              <w:rPr>
                <w:rFonts w:ascii="Calibri" w:eastAsia="Calibri" w:hAnsi="Calibri"/>
                <w:sz w:val="18"/>
                <w:szCs w:val="18"/>
              </w:rPr>
            </w:pPr>
            <w:r w:rsidRPr="00FA182D">
              <w:rPr>
                <w:rFonts w:ascii="Calibri" w:eastAsia="Calibri" w:hAnsi="Calibri"/>
                <w:sz w:val="18"/>
                <w:szCs w:val="18"/>
              </w:rPr>
              <w:t>Q1 2020</w:t>
            </w:r>
          </w:p>
        </w:tc>
        <w:tc>
          <w:tcPr>
            <w:tcW w:w="982" w:type="pct"/>
            <w:vAlign w:val="center"/>
          </w:tcPr>
          <w:p w14:paraId="6964487E" w14:textId="77777777" w:rsidR="001B3BCF" w:rsidRPr="00FA182D" w:rsidRDefault="001B3BCF" w:rsidP="00E2123F">
            <w:pPr>
              <w:pStyle w:val="ClientNormal"/>
              <w:jc w:val="right"/>
              <w:rPr>
                <w:rFonts w:ascii="Calibri" w:eastAsia="Calibri" w:hAnsi="Calibri"/>
                <w:sz w:val="18"/>
                <w:szCs w:val="18"/>
              </w:rPr>
            </w:pPr>
            <w:r w:rsidRPr="00FA182D">
              <w:rPr>
                <w:rFonts w:ascii="Calibri" w:eastAsia="Calibri" w:hAnsi="Calibri"/>
                <w:sz w:val="18"/>
                <w:szCs w:val="18"/>
              </w:rPr>
              <w:t>change in %</w:t>
            </w:r>
          </w:p>
        </w:tc>
      </w:tr>
      <w:tr w:rsidR="001B3BCF" w:rsidRPr="00FA182D" w14:paraId="7D25D2B1" w14:textId="77777777" w:rsidTr="00E2123F">
        <w:trPr>
          <w:trHeight w:val="283"/>
        </w:trPr>
        <w:tc>
          <w:tcPr>
            <w:tcW w:w="1876" w:type="pct"/>
            <w:vAlign w:val="bottom"/>
          </w:tcPr>
          <w:p w14:paraId="2FE106B6" w14:textId="77777777" w:rsidR="001B3BCF" w:rsidRPr="00FA182D" w:rsidRDefault="001B3BCF" w:rsidP="00E2123F">
            <w:pPr>
              <w:pStyle w:val="ClientNormal"/>
              <w:tabs>
                <w:tab w:val="left" w:leader="dot" w:pos="5264"/>
              </w:tabs>
              <w:spacing w:line="260" w:lineRule="atLeast"/>
              <w:rPr>
                <w:rFonts w:ascii="Calibri" w:hAnsi="Calibri" w:cs="Calibri"/>
                <w:sz w:val="18"/>
                <w:szCs w:val="18"/>
              </w:rPr>
            </w:pPr>
            <w:r w:rsidRPr="00FA182D">
              <w:rPr>
                <w:rFonts w:ascii="Calibri" w:eastAsia="Calibri" w:hAnsi="Calibri"/>
                <w:sz w:val="16"/>
                <w:szCs w:val="16"/>
              </w:rPr>
              <w:t>Long guns</w:t>
            </w:r>
          </w:p>
        </w:tc>
        <w:tc>
          <w:tcPr>
            <w:tcW w:w="1160" w:type="pct"/>
          </w:tcPr>
          <w:p w14:paraId="66CB4B7B" w14:textId="77777777" w:rsidR="001B3BCF" w:rsidRPr="00FA182D" w:rsidRDefault="001B3BCF" w:rsidP="00E2123F">
            <w:pPr>
              <w:pStyle w:val="ClientNormal"/>
              <w:jc w:val="right"/>
              <w:rPr>
                <w:rFonts w:ascii="Calibri" w:eastAsia="Calibri" w:hAnsi="Calibri" w:cs="Calibri"/>
                <w:sz w:val="18"/>
                <w:szCs w:val="20"/>
              </w:rPr>
            </w:pPr>
            <w:r w:rsidRPr="00FA182D">
              <w:rPr>
                <w:rFonts w:ascii="Calibri" w:hAnsi="Calibri" w:cs="Calibri"/>
                <w:sz w:val="18"/>
                <w:szCs w:val="20"/>
              </w:rPr>
              <w:t>85,527</w:t>
            </w:r>
          </w:p>
        </w:tc>
        <w:tc>
          <w:tcPr>
            <w:tcW w:w="982" w:type="pct"/>
          </w:tcPr>
          <w:p w14:paraId="201BA5F2" w14:textId="77777777" w:rsidR="001B3BCF" w:rsidRPr="00FA182D" w:rsidRDefault="001B3BCF" w:rsidP="00E2123F">
            <w:pPr>
              <w:pStyle w:val="ClientNormal"/>
              <w:jc w:val="right"/>
              <w:rPr>
                <w:rFonts w:ascii="Calibri" w:eastAsia="Calibri" w:hAnsi="Calibri" w:cs="Calibri"/>
                <w:sz w:val="18"/>
                <w:szCs w:val="20"/>
              </w:rPr>
            </w:pPr>
            <w:r w:rsidRPr="00FA182D">
              <w:rPr>
                <w:rFonts w:ascii="Calibri" w:hAnsi="Calibri" w:cs="Calibri"/>
                <w:sz w:val="18"/>
                <w:szCs w:val="20"/>
              </w:rPr>
              <w:t>56,431</w:t>
            </w:r>
          </w:p>
        </w:tc>
        <w:tc>
          <w:tcPr>
            <w:tcW w:w="982" w:type="pct"/>
          </w:tcPr>
          <w:p w14:paraId="5FB9FCD8" w14:textId="77777777" w:rsidR="001B3BCF" w:rsidRPr="002970F7" w:rsidRDefault="001B3BCF" w:rsidP="00E2123F">
            <w:pPr>
              <w:pStyle w:val="ClientNormal"/>
              <w:jc w:val="right"/>
              <w:rPr>
                <w:rFonts w:ascii="Calibri" w:hAnsi="Calibri" w:cs="Calibri"/>
                <w:sz w:val="18"/>
                <w:szCs w:val="20"/>
              </w:rPr>
            </w:pPr>
            <w:r w:rsidRPr="00FA182D">
              <w:rPr>
                <w:rFonts w:ascii="Calibri" w:hAnsi="Calibri" w:cs="Calibri"/>
                <w:sz w:val="18"/>
                <w:szCs w:val="20"/>
              </w:rPr>
              <w:t>51.56%</w:t>
            </w:r>
          </w:p>
        </w:tc>
      </w:tr>
      <w:tr w:rsidR="001B3BCF" w:rsidRPr="00FA182D" w14:paraId="45798495" w14:textId="77777777" w:rsidTr="00E2123F">
        <w:trPr>
          <w:trHeight w:val="283"/>
        </w:trPr>
        <w:tc>
          <w:tcPr>
            <w:tcW w:w="1876" w:type="pct"/>
            <w:vAlign w:val="bottom"/>
          </w:tcPr>
          <w:p w14:paraId="2F10C38B" w14:textId="77777777" w:rsidR="001B3BCF" w:rsidRPr="00FA182D" w:rsidRDefault="001B3BCF" w:rsidP="00E2123F">
            <w:pPr>
              <w:pStyle w:val="ClientNormal"/>
              <w:tabs>
                <w:tab w:val="left" w:leader="dot" w:pos="5264"/>
              </w:tabs>
              <w:spacing w:line="260" w:lineRule="atLeast"/>
              <w:rPr>
                <w:rFonts w:ascii="Calibri" w:hAnsi="Calibri" w:cs="Calibri"/>
                <w:sz w:val="18"/>
                <w:szCs w:val="18"/>
              </w:rPr>
            </w:pPr>
            <w:r w:rsidRPr="00FA182D">
              <w:rPr>
                <w:rFonts w:ascii="Calibri" w:eastAsia="Calibri" w:hAnsi="Calibri"/>
                <w:sz w:val="16"/>
                <w:szCs w:val="16"/>
              </w:rPr>
              <w:t>Handguns</w:t>
            </w:r>
          </w:p>
        </w:tc>
        <w:tc>
          <w:tcPr>
            <w:tcW w:w="1160" w:type="pct"/>
          </w:tcPr>
          <w:p w14:paraId="312A6D0F" w14:textId="77777777" w:rsidR="001B3BCF" w:rsidRPr="00FA182D" w:rsidRDefault="001B3BCF" w:rsidP="00E2123F">
            <w:pPr>
              <w:pStyle w:val="ClientNormal"/>
              <w:pBdr>
                <w:bottom w:val="single" w:sz="4" w:space="1" w:color="auto"/>
              </w:pBdr>
              <w:jc w:val="right"/>
              <w:rPr>
                <w:rFonts w:ascii="Calibri" w:eastAsia="Calibri" w:hAnsi="Calibri" w:cs="Calibri"/>
                <w:sz w:val="18"/>
                <w:szCs w:val="20"/>
              </w:rPr>
            </w:pPr>
            <w:r w:rsidRPr="00FA182D">
              <w:rPr>
                <w:rFonts w:ascii="Calibri" w:hAnsi="Calibri" w:cs="Calibri"/>
                <w:sz w:val="18"/>
                <w:szCs w:val="20"/>
              </w:rPr>
              <w:t>51,556</w:t>
            </w:r>
          </w:p>
        </w:tc>
        <w:tc>
          <w:tcPr>
            <w:tcW w:w="982" w:type="pct"/>
          </w:tcPr>
          <w:p w14:paraId="43A6AFD1" w14:textId="77777777" w:rsidR="001B3BCF" w:rsidRPr="00FA182D" w:rsidRDefault="001B3BCF" w:rsidP="00E2123F">
            <w:pPr>
              <w:pStyle w:val="ClientNormal"/>
              <w:pBdr>
                <w:bottom w:val="single" w:sz="4" w:space="1" w:color="auto"/>
              </w:pBdr>
              <w:jc w:val="right"/>
              <w:rPr>
                <w:rFonts w:ascii="Calibri" w:eastAsia="Calibri" w:hAnsi="Calibri" w:cs="Calibri"/>
                <w:sz w:val="18"/>
                <w:szCs w:val="20"/>
              </w:rPr>
            </w:pPr>
            <w:r w:rsidRPr="00FA182D">
              <w:rPr>
                <w:rFonts w:ascii="Calibri" w:hAnsi="Calibri" w:cs="Calibri"/>
                <w:sz w:val="18"/>
                <w:szCs w:val="20"/>
              </w:rPr>
              <w:t>30,172</w:t>
            </w:r>
          </w:p>
        </w:tc>
        <w:tc>
          <w:tcPr>
            <w:tcW w:w="982" w:type="pct"/>
          </w:tcPr>
          <w:p w14:paraId="6CB3B6D2" w14:textId="77777777" w:rsidR="001B3BCF" w:rsidRPr="002970F7" w:rsidRDefault="001B3BCF" w:rsidP="00E2123F">
            <w:pPr>
              <w:pStyle w:val="ClientNormal"/>
              <w:pBdr>
                <w:bottom w:val="single" w:sz="4" w:space="1" w:color="auto"/>
              </w:pBdr>
              <w:jc w:val="right"/>
              <w:rPr>
                <w:rFonts w:ascii="Calibri" w:hAnsi="Calibri" w:cs="Calibri"/>
                <w:sz w:val="18"/>
                <w:szCs w:val="20"/>
              </w:rPr>
            </w:pPr>
            <w:r w:rsidRPr="00FA182D">
              <w:rPr>
                <w:rFonts w:ascii="Calibri" w:hAnsi="Calibri" w:cs="Calibri"/>
                <w:sz w:val="18"/>
                <w:szCs w:val="20"/>
              </w:rPr>
              <w:t>70.87%</w:t>
            </w:r>
          </w:p>
        </w:tc>
      </w:tr>
      <w:tr w:rsidR="001B3BCF" w:rsidRPr="00FA182D" w14:paraId="299F38E3" w14:textId="77777777" w:rsidTr="00E2123F">
        <w:trPr>
          <w:trHeight w:val="283"/>
        </w:trPr>
        <w:tc>
          <w:tcPr>
            <w:tcW w:w="1876" w:type="pct"/>
            <w:vAlign w:val="bottom"/>
          </w:tcPr>
          <w:p w14:paraId="61E0305A" w14:textId="77777777" w:rsidR="001B3BCF" w:rsidRPr="00FA182D" w:rsidRDefault="001B3BCF" w:rsidP="00E2123F">
            <w:pPr>
              <w:pStyle w:val="ClientNormal"/>
              <w:tabs>
                <w:tab w:val="left" w:leader="dot" w:pos="5264"/>
              </w:tabs>
              <w:spacing w:line="260" w:lineRule="atLeast"/>
              <w:rPr>
                <w:rFonts w:ascii="Calibri" w:hAnsi="Calibri" w:cs="Calibri"/>
                <w:b/>
                <w:bCs/>
                <w:sz w:val="18"/>
                <w:szCs w:val="18"/>
              </w:rPr>
            </w:pPr>
            <w:r w:rsidRPr="00FA182D">
              <w:rPr>
                <w:rFonts w:ascii="Calibri" w:eastAsia="Calibri" w:hAnsi="Calibri"/>
                <w:sz w:val="16"/>
                <w:szCs w:val="16"/>
              </w:rPr>
              <w:t>Total Firearms Units</w:t>
            </w:r>
            <w:r w:rsidRPr="00FA182D" w:rsidDel="003917DE">
              <w:rPr>
                <w:rFonts w:ascii="Calibri" w:eastAsia="Calibri" w:hAnsi="Calibri"/>
                <w:i/>
                <w:sz w:val="16"/>
                <w:szCs w:val="16"/>
              </w:rPr>
              <w:t xml:space="preserve"> </w:t>
            </w:r>
          </w:p>
        </w:tc>
        <w:tc>
          <w:tcPr>
            <w:tcW w:w="1160" w:type="pct"/>
          </w:tcPr>
          <w:p w14:paraId="70ABDFEF" w14:textId="77777777" w:rsidR="001B3BCF" w:rsidRPr="00FA182D" w:rsidRDefault="001B3BCF" w:rsidP="00E2123F">
            <w:pPr>
              <w:pStyle w:val="ClientNormal"/>
              <w:pBdr>
                <w:bottom w:val="double" w:sz="4" w:space="1" w:color="auto"/>
              </w:pBdr>
              <w:jc w:val="right"/>
              <w:rPr>
                <w:rFonts w:ascii="Calibri" w:eastAsia="Calibri" w:hAnsi="Calibri" w:cs="Calibri"/>
                <w:b/>
                <w:bCs/>
                <w:sz w:val="18"/>
                <w:szCs w:val="20"/>
              </w:rPr>
            </w:pPr>
            <w:r w:rsidRPr="00FA182D">
              <w:rPr>
                <w:rFonts w:ascii="Calibri" w:hAnsi="Calibri" w:cs="Calibri"/>
                <w:b/>
                <w:bCs/>
                <w:sz w:val="18"/>
                <w:szCs w:val="20"/>
              </w:rPr>
              <w:t>137,083</w:t>
            </w:r>
          </w:p>
        </w:tc>
        <w:tc>
          <w:tcPr>
            <w:tcW w:w="982" w:type="pct"/>
          </w:tcPr>
          <w:p w14:paraId="0CBABB9A" w14:textId="77777777" w:rsidR="001B3BCF" w:rsidRPr="00FA182D" w:rsidRDefault="001B3BCF" w:rsidP="00E2123F">
            <w:pPr>
              <w:pStyle w:val="ClientNormal"/>
              <w:pBdr>
                <w:bottom w:val="double" w:sz="4" w:space="1" w:color="auto"/>
              </w:pBdr>
              <w:jc w:val="right"/>
              <w:rPr>
                <w:rFonts w:ascii="Calibri" w:eastAsia="Calibri" w:hAnsi="Calibri" w:cs="Calibri"/>
                <w:b/>
                <w:bCs/>
                <w:sz w:val="18"/>
                <w:szCs w:val="20"/>
              </w:rPr>
            </w:pPr>
            <w:r w:rsidRPr="00FA182D">
              <w:rPr>
                <w:rFonts w:ascii="Calibri" w:hAnsi="Calibri" w:cs="Calibri"/>
                <w:b/>
                <w:bCs/>
                <w:sz w:val="18"/>
                <w:szCs w:val="20"/>
              </w:rPr>
              <w:t>86,603</w:t>
            </w:r>
          </w:p>
        </w:tc>
        <w:tc>
          <w:tcPr>
            <w:tcW w:w="982" w:type="pct"/>
          </w:tcPr>
          <w:p w14:paraId="72BBCC72" w14:textId="77777777" w:rsidR="001B3BCF" w:rsidRPr="00FA182D" w:rsidRDefault="001B3BCF" w:rsidP="00E2123F">
            <w:pPr>
              <w:pStyle w:val="ClientNormal"/>
              <w:pBdr>
                <w:bottom w:val="double" w:sz="4" w:space="1" w:color="auto"/>
              </w:pBdr>
              <w:jc w:val="right"/>
              <w:rPr>
                <w:rFonts w:ascii="Calibri" w:eastAsia="Calibri" w:hAnsi="Calibri" w:cs="Calibri"/>
                <w:b/>
                <w:bCs/>
                <w:sz w:val="18"/>
                <w:szCs w:val="20"/>
              </w:rPr>
            </w:pPr>
            <w:r w:rsidRPr="00FA182D">
              <w:rPr>
                <w:rFonts w:ascii="Calibri" w:hAnsi="Calibri" w:cs="Calibri"/>
                <w:b/>
                <w:bCs/>
                <w:sz w:val="18"/>
                <w:szCs w:val="20"/>
              </w:rPr>
              <w:t>58.29%</w:t>
            </w:r>
          </w:p>
        </w:tc>
      </w:tr>
    </w:tbl>
    <w:p w14:paraId="5C561F86" w14:textId="77777777" w:rsidR="001B3BCF" w:rsidRPr="00FA182D" w:rsidRDefault="001B3BCF" w:rsidP="001B3BCF">
      <w:pPr>
        <w:spacing w:line="276" w:lineRule="auto"/>
        <w:jc w:val="both"/>
        <w:rPr>
          <w:rFonts w:ascii="Calibri" w:eastAsiaTheme="minorHAnsi" w:hAnsi="Calibri" w:cs="Calibri"/>
          <w:sz w:val="18"/>
          <w:szCs w:val="18"/>
          <w:lang w:val="en-GB" w:eastAsia="en-US"/>
        </w:rPr>
      </w:pPr>
    </w:p>
    <w:p w14:paraId="6F044752" w14:textId="77777777" w:rsidR="001B3BCF" w:rsidRPr="00723B74" w:rsidRDefault="001B3BCF" w:rsidP="001B3BCF">
      <w:pPr>
        <w:spacing w:before="240" w:line="276" w:lineRule="auto"/>
        <w:jc w:val="both"/>
        <w:rPr>
          <w:rFonts w:ascii="Calibri" w:eastAsiaTheme="minorHAnsi" w:hAnsi="Calibri" w:cs="Calibri"/>
          <w:b/>
          <w:bCs/>
          <w:sz w:val="16"/>
          <w:szCs w:val="16"/>
          <w:lang w:val="en-GB" w:eastAsia="en-US"/>
        </w:rPr>
      </w:pPr>
      <w:r w:rsidRPr="002970F7">
        <w:rPr>
          <w:rFonts w:ascii="Calibri" w:eastAsiaTheme="minorHAnsi" w:hAnsi="Calibri" w:cs="Calibri"/>
          <w:b/>
          <w:bCs/>
          <w:sz w:val="18"/>
          <w:szCs w:val="18"/>
          <w:lang w:val="en-GB" w:eastAsia="en-US"/>
        </w:rPr>
        <w:t>Operating Profit (EBIT) and EBITDA from continued operations</w:t>
      </w:r>
      <w:r w:rsidRPr="00723B74">
        <w:rPr>
          <w:rStyle w:val="Znakapoznpodarou"/>
          <w:rFonts w:ascii="Calibri" w:eastAsiaTheme="minorHAnsi" w:hAnsi="Calibri" w:cs="Calibri"/>
          <w:b/>
          <w:bCs/>
          <w:sz w:val="16"/>
          <w:szCs w:val="16"/>
          <w:lang w:val="en-GB" w:eastAsia="en-US"/>
        </w:rPr>
        <w:footnoteReference w:id="2"/>
      </w:r>
    </w:p>
    <w:p w14:paraId="1231075C" w14:textId="77777777" w:rsidR="001B3BCF" w:rsidRPr="00FA182D" w:rsidRDefault="001B3BCF" w:rsidP="001B3BCF">
      <w:pPr>
        <w:spacing w:line="276" w:lineRule="auto"/>
        <w:jc w:val="both"/>
        <w:rPr>
          <w:rFonts w:ascii="Calibri" w:eastAsiaTheme="minorHAnsi" w:hAnsi="Calibri" w:cs="Calibri"/>
          <w:sz w:val="18"/>
          <w:szCs w:val="18"/>
          <w:lang w:val="en-GB" w:eastAsia="en-US"/>
        </w:rPr>
      </w:pPr>
      <w:r w:rsidRPr="004F712B">
        <w:rPr>
          <w:rFonts w:ascii="Calibri" w:eastAsiaTheme="minorHAnsi" w:hAnsi="Calibri" w:cs="Calibri"/>
          <w:sz w:val="18"/>
          <w:szCs w:val="18"/>
          <w:lang w:val="en-GB" w:eastAsia="en-US"/>
        </w:rPr>
        <w:t xml:space="preserve">In </w:t>
      </w:r>
      <w:r>
        <w:rPr>
          <w:rFonts w:ascii="Calibri" w:eastAsiaTheme="minorHAnsi" w:hAnsi="Calibri" w:cs="Calibri"/>
          <w:sz w:val="18"/>
          <w:szCs w:val="18"/>
          <w:lang w:val="en-GB" w:eastAsia="en-US"/>
        </w:rPr>
        <w:t>the first quarter of 2021</w:t>
      </w:r>
      <w:r w:rsidRPr="004F712B">
        <w:rPr>
          <w:rFonts w:ascii="Calibri" w:eastAsiaTheme="minorHAnsi" w:hAnsi="Calibri" w:cs="Calibri"/>
          <w:sz w:val="18"/>
          <w:szCs w:val="18"/>
          <w:lang w:val="en-GB" w:eastAsia="en-US"/>
        </w:rPr>
        <w:t xml:space="preserve"> the operating profit reached CZK </w:t>
      </w:r>
      <w:r>
        <w:rPr>
          <w:rFonts w:ascii="Calibri" w:eastAsiaTheme="minorHAnsi" w:hAnsi="Calibri" w:cs="Calibri"/>
          <w:sz w:val="18"/>
          <w:szCs w:val="18"/>
          <w:lang w:val="en-GB" w:eastAsia="en-US"/>
        </w:rPr>
        <w:t xml:space="preserve">334.9 </w:t>
      </w:r>
      <w:r w:rsidRPr="004F712B">
        <w:rPr>
          <w:rFonts w:ascii="Calibri" w:eastAsiaTheme="minorHAnsi" w:hAnsi="Calibri" w:cs="Calibri"/>
          <w:sz w:val="18"/>
          <w:szCs w:val="18"/>
          <w:lang w:val="en-GB" w:eastAsia="en-US"/>
        </w:rPr>
        <w:t xml:space="preserve">million up </w:t>
      </w:r>
      <w:r>
        <w:rPr>
          <w:rFonts w:ascii="Calibri" w:eastAsiaTheme="minorHAnsi" w:hAnsi="Calibri" w:cs="Calibri"/>
          <w:sz w:val="18"/>
          <w:szCs w:val="18"/>
          <w:lang w:val="en-GB" w:eastAsia="en-US"/>
        </w:rPr>
        <w:t xml:space="preserve">216.6 </w:t>
      </w:r>
      <w:r w:rsidRPr="004F712B">
        <w:rPr>
          <w:rFonts w:ascii="Calibri" w:eastAsiaTheme="minorHAnsi" w:hAnsi="Calibri" w:cs="Calibri"/>
          <w:sz w:val="18"/>
          <w:szCs w:val="18"/>
          <w:lang w:val="en-GB" w:eastAsia="en-US"/>
        </w:rPr>
        <w:t>% y-o-y driven primarily by the high sales. In 2020</w:t>
      </w:r>
      <w:r>
        <w:rPr>
          <w:rFonts w:ascii="Calibri" w:eastAsiaTheme="minorHAnsi" w:hAnsi="Calibri" w:cs="Calibri"/>
          <w:sz w:val="18"/>
          <w:szCs w:val="18"/>
          <w:lang w:val="en-GB" w:eastAsia="en-US"/>
        </w:rPr>
        <w:t>.</w:t>
      </w:r>
      <w:r w:rsidRPr="004F712B">
        <w:rPr>
          <w:rFonts w:ascii="Calibri" w:eastAsiaTheme="minorHAnsi" w:hAnsi="Calibri" w:cs="Calibri"/>
          <w:sz w:val="18"/>
          <w:szCs w:val="18"/>
          <w:lang w:val="en-GB" w:eastAsia="en-US"/>
        </w:rPr>
        <w:t xml:space="preserve"> EBITDA from continued operations was CZK </w:t>
      </w:r>
      <w:r>
        <w:rPr>
          <w:rFonts w:ascii="Calibri" w:eastAsiaTheme="minorHAnsi" w:hAnsi="Calibri" w:cs="Calibri"/>
          <w:sz w:val="18"/>
          <w:szCs w:val="18"/>
          <w:lang w:val="en-GB" w:eastAsia="en-US"/>
        </w:rPr>
        <w:t>438.2</w:t>
      </w:r>
      <w:r w:rsidRPr="004F712B">
        <w:rPr>
          <w:rFonts w:ascii="Calibri" w:eastAsiaTheme="minorHAnsi" w:hAnsi="Calibri" w:cs="Calibri"/>
          <w:sz w:val="18"/>
          <w:szCs w:val="18"/>
          <w:lang w:val="en-GB" w:eastAsia="en-US"/>
        </w:rPr>
        <w:t xml:space="preserve"> million</w:t>
      </w:r>
      <w:r>
        <w:rPr>
          <w:rFonts w:ascii="Calibri" w:eastAsiaTheme="minorHAnsi" w:hAnsi="Calibri" w:cs="Calibri"/>
          <w:sz w:val="18"/>
          <w:szCs w:val="18"/>
          <w:lang w:val="en-GB" w:eastAsia="en-US"/>
        </w:rPr>
        <w:t xml:space="preserve"> in the first quarter of 20321</w:t>
      </w:r>
      <w:r w:rsidRPr="004F712B">
        <w:rPr>
          <w:rFonts w:ascii="Calibri" w:eastAsiaTheme="minorHAnsi" w:hAnsi="Calibri" w:cs="Calibri"/>
          <w:sz w:val="18"/>
          <w:szCs w:val="18"/>
          <w:lang w:val="en-GB" w:eastAsia="en-US"/>
        </w:rPr>
        <w:t xml:space="preserve">, which is an increase of </w:t>
      </w:r>
      <w:r>
        <w:rPr>
          <w:rFonts w:ascii="Calibri" w:eastAsiaTheme="minorHAnsi" w:hAnsi="Calibri" w:cs="Calibri"/>
          <w:sz w:val="18"/>
          <w:szCs w:val="18"/>
          <w:lang w:val="en-GB" w:eastAsia="en-US"/>
        </w:rPr>
        <w:t>117.4</w:t>
      </w:r>
      <w:r w:rsidRPr="004F712B">
        <w:rPr>
          <w:rFonts w:ascii="Calibri" w:eastAsiaTheme="minorHAnsi" w:hAnsi="Calibri" w:cs="Calibri"/>
          <w:sz w:val="18"/>
          <w:szCs w:val="18"/>
          <w:lang w:val="en-GB" w:eastAsia="en-US"/>
        </w:rPr>
        <w:t>% y-o-y, driven by higher revenues and improved operating profitability.</w:t>
      </w:r>
    </w:p>
    <w:p w14:paraId="7DF3FD8E" w14:textId="77777777" w:rsidR="001B3BCF" w:rsidRPr="00FA182D" w:rsidRDefault="001B3BCF" w:rsidP="001B3BCF">
      <w:pPr>
        <w:spacing w:line="276" w:lineRule="auto"/>
        <w:jc w:val="both"/>
        <w:rPr>
          <w:rFonts w:ascii="Calibri" w:eastAsiaTheme="minorHAnsi" w:hAnsi="Calibri" w:cs="Calibri"/>
          <w:sz w:val="18"/>
          <w:szCs w:val="18"/>
          <w:lang w:val="en-GB" w:eastAsia="en-US"/>
        </w:rPr>
      </w:pPr>
    </w:p>
    <w:p w14:paraId="14532614" w14:textId="77777777" w:rsidR="001B3BCF" w:rsidRDefault="001B3BCF" w:rsidP="001B3BCF">
      <w:pPr>
        <w:spacing w:line="276" w:lineRule="auto"/>
        <w:jc w:val="both"/>
        <w:rPr>
          <w:rFonts w:ascii="Calibri" w:eastAsiaTheme="minorHAnsi" w:hAnsi="Calibri" w:cs="Calibri"/>
          <w:sz w:val="18"/>
          <w:szCs w:val="18"/>
          <w:lang w:val="en-GB" w:eastAsia="en-US"/>
        </w:rPr>
      </w:pPr>
      <w:r w:rsidRPr="004F712B">
        <w:rPr>
          <w:rFonts w:ascii="Calibri" w:eastAsiaTheme="minorHAnsi" w:hAnsi="Calibri" w:cs="Calibri"/>
          <w:b/>
          <w:bCs/>
          <w:sz w:val="18"/>
          <w:szCs w:val="18"/>
          <w:lang w:val="en-GB" w:eastAsia="en-US"/>
        </w:rPr>
        <w:t xml:space="preserve">Profit before tax </w:t>
      </w:r>
    </w:p>
    <w:p w14:paraId="54E8798C" w14:textId="77777777" w:rsidR="001B3BCF" w:rsidRDefault="001B3BCF" w:rsidP="001B3BCF">
      <w:pPr>
        <w:spacing w:line="276" w:lineRule="auto"/>
        <w:jc w:val="both"/>
        <w:rPr>
          <w:rFonts w:ascii="Calibri" w:eastAsiaTheme="minorHAnsi" w:hAnsi="Calibri" w:cs="Calibri"/>
          <w:sz w:val="18"/>
          <w:szCs w:val="18"/>
          <w:lang w:val="en-GB" w:eastAsia="en-US"/>
        </w:rPr>
      </w:pPr>
    </w:p>
    <w:p w14:paraId="758BD71C" w14:textId="77777777" w:rsidR="001B3BCF" w:rsidRPr="00FA182D" w:rsidRDefault="001B3BCF" w:rsidP="001B3BCF">
      <w:pPr>
        <w:spacing w:line="276" w:lineRule="auto"/>
        <w:jc w:val="both"/>
        <w:rPr>
          <w:rFonts w:ascii="Calibri" w:eastAsiaTheme="minorHAnsi" w:hAnsi="Calibri" w:cs="Calibri"/>
          <w:sz w:val="18"/>
          <w:szCs w:val="18"/>
          <w:lang w:val="en-GB" w:eastAsia="en-US"/>
        </w:rPr>
      </w:pPr>
      <w:r w:rsidRPr="004F712B">
        <w:rPr>
          <w:rFonts w:ascii="Calibri" w:eastAsiaTheme="minorHAnsi" w:hAnsi="Calibri" w:cs="Calibri"/>
          <w:sz w:val="18"/>
          <w:szCs w:val="18"/>
          <w:lang w:val="en-GB" w:eastAsia="en-US"/>
        </w:rPr>
        <w:t xml:space="preserve">Profit before tax </w:t>
      </w:r>
      <w:r>
        <w:rPr>
          <w:rFonts w:ascii="Calibri" w:eastAsiaTheme="minorHAnsi" w:hAnsi="Calibri" w:cs="Calibri"/>
          <w:sz w:val="18"/>
          <w:szCs w:val="18"/>
          <w:lang w:val="en-GB" w:eastAsia="en-US"/>
        </w:rPr>
        <w:t>increased</w:t>
      </w:r>
      <w:r w:rsidRPr="004F712B">
        <w:rPr>
          <w:rFonts w:ascii="Calibri" w:eastAsiaTheme="minorHAnsi" w:hAnsi="Calibri" w:cs="Calibri"/>
          <w:sz w:val="18"/>
          <w:szCs w:val="18"/>
          <w:lang w:val="en-GB" w:eastAsia="en-US"/>
        </w:rPr>
        <w:t xml:space="preserve"> </w:t>
      </w:r>
      <w:r>
        <w:rPr>
          <w:rFonts w:ascii="Calibri" w:eastAsiaTheme="minorHAnsi" w:hAnsi="Calibri" w:cs="Calibri"/>
          <w:sz w:val="18"/>
          <w:szCs w:val="18"/>
          <w:lang w:val="en-GB" w:eastAsia="en-US"/>
        </w:rPr>
        <w:t>on the annual basis</w:t>
      </w:r>
      <w:r w:rsidRPr="004F712B">
        <w:rPr>
          <w:rFonts w:ascii="Calibri" w:eastAsiaTheme="minorHAnsi" w:hAnsi="Calibri" w:cs="Calibri"/>
          <w:sz w:val="18"/>
          <w:szCs w:val="18"/>
          <w:lang w:val="en-GB" w:eastAsia="en-US"/>
        </w:rPr>
        <w:t xml:space="preserve"> and amounted to CZK </w:t>
      </w:r>
      <w:r>
        <w:rPr>
          <w:rFonts w:ascii="Calibri" w:eastAsiaTheme="minorHAnsi" w:hAnsi="Calibri" w:cs="Calibri"/>
          <w:sz w:val="18"/>
          <w:szCs w:val="18"/>
          <w:lang w:val="en-GB" w:eastAsia="en-US"/>
        </w:rPr>
        <w:t>361.6</w:t>
      </w:r>
      <w:r w:rsidRPr="004F712B">
        <w:rPr>
          <w:rFonts w:ascii="Calibri" w:eastAsiaTheme="minorHAnsi" w:hAnsi="Calibri" w:cs="Calibri"/>
          <w:sz w:val="18"/>
          <w:szCs w:val="18"/>
          <w:lang w:val="en-GB" w:eastAsia="en-US"/>
        </w:rPr>
        <w:t xml:space="preserve"> million in </w:t>
      </w:r>
      <w:r>
        <w:rPr>
          <w:rFonts w:ascii="Calibri" w:eastAsiaTheme="minorHAnsi" w:hAnsi="Calibri" w:cs="Calibri"/>
          <w:sz w:val="18"/>
          <w:szCs w:val="18"/>
          <w:lang w:val="en-GB" w:eastAsia="en-US"/>
        </w:rPr>
        <w:t>the first quarter of 2021, compared to the loss of CZK 66.3 million incurred in the first quarter of 2021</w:t>
      </w:r>
      <w:r w:rsidRPr="004F712B">
        <w:rPr>
          <w:rFonts w:ascii="Calibri" w:eastAsiaTheme="minorHAnsi" w:hAnsi="Calibri" w:cs="Calibri"/>
          <w:sz w:val="18"/>
          <w:szCs w:val="18"/>
          <w:lang w:val="en-GB" w:eastAsia="en-US"/>
        </w:rPr>
        <w:t xml:space="preserve">. The </w:t>
      </w:r>
      <w:r>
        <w:rPr>
          <w:rFonts w:ascii="Calibri" w:eastAsiaTheme="minorHAnsi" w:hAnsi="Calibri" w:cs="Calibri"/>
          <w:sz w:val="18"/>
          <w:szCs w:val="18"/>
          <w:lang w:val="en-GB" w:eastAsia="en-US"/>
        </w:rPr>
        <w:t>difference</w:t>
      </w:r>
      <w:r w:rsidRPr="004F712B">
        <w:rPr>
          <w:rFonts w:ascii="Calibri" w:eastAsiaTheme="minorHAnsi" w:hAnsi="Calibri" w:cs="Calibri"/>
          <w:sz w:val="18"/>
          <w:szCs w:val="18"/>
          <w:lang w:val="en-GB" w:eastAsia="en-US"/>
        </w:rPr>
        <w:t xml:space="preserve"> is related mainly to the losses incurred on the revaluation of the FX derivatives portfolio used to hedge foreign currency sales these were caused by the significant depreciation of CZK against both EUR and USD in 2020</w:t>
      </w:r>
      <w:r>
        <w:rPr>
          <w:rFonts w:ascii="Calibri" w:eastAsiaTheme="minorHAnsi" w:hAnsi="Calibri" w:cs="Calibri"/>
          <w:sz w:val="18"/>
          <w:szCs w:val="18"/>
          <w:lang w:val="en-GB" w:eastAsia="en-US"/>
        </w:rPr>
        <w:t xml:space="preserve">. On the other hand, the appreciation of CZK </w:t>
      </w:r>
      <w:r w:rsidRPr="004F712B">
        <w:rPr>
          <w:rFonts w:ascii="Calibri" w:eastAsiaTheme="minorHAnsi" w:hAnsi="Calibri" w:cs="Calibri"/>
          <w:sz w:val="18"/>
          <w:szCs w:val="18"/>
          <w:lang w:val="en-GB" w:eastAsia="en-US"/>
        </w:rPr>
        <w:t xml:space="preserve">against EUR </w:t>
      </w:r>
      <w:r>
        <w:rPr>
          <w:rFonts w:ascii="Calibri" w:eastAsiaTheme="minorHAnsi" w:hAnsi="Calibri" w:cs="Calibri"/>
          <w:sz w:val="18"/>
          <w:szCs w:val="18"/>
          <w:lang w:val="en-GB" w:eastAsia="en-US"/>
        </w:rPr>
        <w:t xml:space="preserve">in the Q1 2021 led to a profit from the </w:t>
      </w:r>
      <w:r w:rsidRPr="004F712B">
        <w:rPr>
          <w:rFonts w:ascii="Calibri" w:eastAsiaTheme="minorHAnsi" w:hAnsi="Calibri" w:cs="Calibri"/>
          <w:sz w:val="18"/>
          <w:szCs w:val="18"/>
          <w:lang w:val="en-GB" w:eastAsia="en-US"/>
        </w:rPr>
        <w:t>revaluation of the FX derivatives portfolio</w:t>
      </w:r>
      <w:r>
        <w:rPr>
          <w:rFonts w:ascii="Calibri" w:eastAsiaTheme="minorHAnsi" w:hAnsi="Calibri" w:cs="Calibri"/>
          <w:sz w:val="18"/>
          <w:szCs w:val="18"/>
          <w:lang w:val="en-GB" w:eastAsia="en-US"/>
        </w:rPr>
        <w:t xml:space="preserve">. </w:t>
      </w:r>
    </w:p>
    <w:p w14:paraId="10C8328E" w14:textId="77777777" w:rsidR="001B3BCF" w:rsidRPr="00FA182D" w:rsidRDefault="001B3BCF" w:rsidP="001B3BCF">
      <w:pPr>
        <w:spacing w:line="276" w:lineRule="auto"/>
        <w:jc w:val="both"/>
        <w:rPr>
          <w:rFonts w:ascii="Calibri" w:eastAsiaTheme="minorHAnsi" w:hAnsi="Calibri" w:cs="Calibri"/>
          <w:sz w:val="18"/>
          <w:szCs w:val="18"/>
          <w:lang w:val="en-GB" w:eastAsia="en-US"/>
        </w:rPr>
      </w:pPr>
    </w:p>
    <w:p w14:paraId="6B481BEB" w14:textId="77777777" w:rsidR="001B3BCF" w:rsidRDefault="001B3BCF" w:rsidP="001B3BCF">
      <w:pPr>
        <w:spacing w:line="276" w:lineRule="auto"/>
        <w:jc w:val="both"/>
        <w:rPr>
          <w:rFonts w:ascii="Calibri" w:eastAsiaTheme="minorHAnsi" w:hAnsi="Calibri" w:cs="Calibri"/>
          <w:b/>
          <w:bCs/>
          <w:sz w:val="18"/>
          <w:szCs w:val="18"/>
          <w:lang w:val="en-GB" w:eastAsia="en-US"/>
        </w:rPr>
      </w:pPr>
      <w:r w:rsidRPr="00E6793D">
        <w:rPr>
          <w:rFonts w:ascii="Calibri" w:eastAsiaTheme="minorHAnsi" w:hAnsi="Calibri" w:cs="Calibri"/>
          <w:b/>
          <w:bCs/>
          <w:sz w:val="18"/>
          <w:szCs w:val="18"/>
          <w:lang w:val="en-GB" w:eastAsia="en-US"/>
        </w:rPr>
        <w:lastRenderedPageBreak/>
        <w:t xml:space="preserve">Profit for the period </w:t>
      </w:r>
    </w:p>
    <w:p w14:paraId="4863F843" w14:textId="77777777" w:rsidR="001B3BCF" w:rsidRPr="00FA182D" w:rsidRDefault="001B3BCF" w:rsidP="001B3BCF">
      <w:pPr>
        <w:spacing w:line="276" w:lineRule="auto"/>
        <w:jc w:val="both"/>
        <w:rPr>
          <w:rFonts w:ascii="Calibri" w:eastAsiaTheme="minorHAnsi" w:hAnsi="Calibri" w:cs="Calibri"/>
          <w:sz w:val="18"/>
          <w:szCs w:val="18"/>
          <w:lang w:val="en-GB" w:eastAsia="en-US"/>
        </w:rPr>
      </w:pPr>
      <w:r w:rsidRPr="00E6793D">
        <w:rPr>
          <w:rFonts w:ascii="Calibri" w:eastAsiaTheme="minorHAnsi" w:hAnsi="Calibri" w:cs="Calibri"/>
          <w:sz w:val="18"/>
          <w:szCs w:val="18"/>
          <w:lang w:val="en-GB" w:eastAsia="en-US"/>
        </w:rPr>
        <w:t xml:space="preserve">Profit for the period from continued operations </w:t>
      </w:r>
      <w:r>
        <w:rPr>
          <w:rFonts w:ascii="Calibri" w:eastAsiaTheme="minorHAnsi" w:hAnsi="Calibri" w:cs="Calibri"/>
          <w:sz w:val="18"/>
          <w:szCs w:val="18"/>
          <w:lang w:val="en-GB" w:eastAsia="en-US"/>
        </w:rPr>
        <w:t>went up</w:t>
      </w:r>
      <w:r w:rsidRPr="00E6793D">
        <w:rPr>
          <w:rFonts w:ascii="Calibri" w:eastAsiaTheme="minorHAnsi" w:hAnsi="Calibri" w:cs="Calibri"/>
          <w:sz w:val="18"/>
          <w:szCs w:val="18"/>
          <w:lang w:val="en-GB" w:eastAsia="en-US"/>
        </w:rPr>
        <w:t xml:space="preserve"> and amounted to CZK </w:t>
      </w:r>
      <w:r>
        <w:rPr>
          <w:rFonts w:ascii="Calibri" w:eastAsiaTheme="minorHAnsi" w:hAnsi="Calibri" w:cs="Calibri"/>
          <w:sz w:val="18"/>
          <w:szCs w:val="18"/>
          <w:lang w:val="en-GB" w:eastAsia="en-US"/>
        </w:rPr>
        <w:t xml:space="preserve">275.6 </w:t>
      </w:r>
      <w:r w:rsidRPr="00E6793D">
        <w:rPr>
          <w:rFonts w:ascii="Calibri" w:eastAsiaTheme="minorHAnsi" w:hAnsi="Calibri" w:cs="Calibri"/>
          <w:sz w:val="18"/>
          <w:szCs w:val="18"/>
          <w:lang w:val="en-GB" w:eastAsia="en-US"/>
        </w:rPr>
        <w:t xml:space="preserve">million in </w:t>
      </w:r>
      <w:r>
        <w:rPr>
          <w:rFonts w:ascii="Calibri" w:eastAsiaTheme="minorHAnsi" w:hAnsi="Calibri" w:cs="Calibri"/>
          <w:sz w:val="18"/>
          <w:szCs w:val="18"/>
          <w:lang w:val="en-GB" w:eastAsia="en-US"/>
        </w:rPr>
        <w:t>the first quarter of 2021 compared to the loss of CZK 59.1 million in the same period last year</w:t>
      </w:r>
      <w:r w:rsidRPr="00E6793D">
        <w:rPr>
          <w:rFonts w:ascii="Calibri" w:eastAsiaTheme="minorHAnsi" w:hAnsi="Calibri" w:cs="Calibri"/>
          <w:sz w:val="18"/>
          <w:szCs w:val="18"/>
          <w:lang w:val="en-GB" w:eastAsia="en-US"/>
        </w:rPr>
        <w:t xml:space="preserve"> as a result of factors discussed above.</w:t>
      </w:r>
    </w:p>
    <w:p w14:paraId="3E37FFC7" w14:textId="77777777" w:rsidR="001B3BCF" w:rsidRPr="00FA182D" w:rsidRDefault="001B3BCF" w:rsidP="001B3BCF">
      <w:pPr>
        <w:spacing w:line="276" w:lineRule="auto"/>
        <w:jc w:val="both"/>
        <w:rPr>
          <w:rFonts w:ascii="Calibri" w:eastAsiaTheme="minorHAnsi" w:hAnsi="Calibri" w:cs="Calibri"/>
          <w:b/>
          <w:bCs/>
          <w:sz w:val="18"/>
          <w:szCs w:val="18"/>
          <w:lang w:val="en-GB" w:eastAsia="en-US"/>
        </w:rPr>
      </w:pPr>
    </w:p>
    <w:p w14:paraId="055C3C2E" w14:textId="77777777" w:rsidR="001B3BCF" w:rsidRDefault="001B3BCF" w:rsidP="001B3BCF">
      <w:pPr>
        <w:spacing w:line="276" w:lineRule="auto"/>
        <w:jc w:val="both"/>
        <w:rPr>
          <w:rFonts w:ascii="Calibri" w:eastAsiaTheme="minorHAnsi" w:hAnsi="Calibri" w:cs="Calibri"/>
          <w:sz w:val="18"/>
          <w:szCs w:val="18"/>
          <w:lang w:val="en-GB" w:eastAsia="en-US"/>
        </w:rPr>
      </w:pPr>
      <w:r w:rsidRPr="00E6793D">
        <w:rPr>
          <w:rFonts w:ascii="Calibri" w:eastAsiaTheme="minorHAnsi" w:hAnsi="Calibri" w:cs="Calibri"/>
          <w:b/>
          <w:bCs/>
          <w:sz w:val="18"/>
          <w:szCs w:val="18"/>
          <w:lang w:val="en-GB" w:eastAsia="en-US"/>
        </w:rPr>
        <w:t>Investments</w:t>
      </w:r>
      <w:r w:rsidRPr="00FA182D">
        <w:rPr>
          <w:rFonts w:ascii="Calibri" w:eastAsiaTheme="minorHAnsi" w:hAnsi="Calibri" w:cs="Calibri"/>
          <w:sz w:val="18"/>
          <w:szCs w:val="18"/>
          <w:lang w:val="en-GB" w:eastAsia="en-US"/>
        </w:rPr>
        <w:t xml:space="preserve"> </w:t>
      </w:r>
    </w:p>
    <w:p w14:paraId="3E7D5DBE" w14:textId="77777777" w:rsidR="001B3BCF" w:rsidRPr="00FA182D" w:rsidRDefault="001B3BCF" w:rsidP="001B3BCF">
      <w:pPr>
        <w:spacing w:line="276" w:lineRule="auto"/>
        <w:jc w:val="both"/>
        <w:rPr>
          <w:rFonts w:ascii="Calibri" w:eastAsiaTheme="minorHAnsi" w:hAnsi="Calibri" w:cs="Calibri"/>
          <w:sz w:val="18"/>
          <w:szCs w:val="18"/>
          <w:lang w:val="en-GB" w:eastAsia="en-US"/>
        </w:rPr>
      </w:pPr>
      <w:r w:rsidRPr="00E6793D">
        <w:rPr>
          <w:rFonts w:ascii="Calibri" w:eastAsiaTheme="minorHAnsi" w:hAnsi="Calibri" w:cs="Calibri"/>
          <w:sz w:val="18"/>
          <w:szCs w:val="18"/>
          <w:lang w:val="en-GB" w:eastAsia="en-US"/>
        </w:rPr>
        <w:t xml:space="preserve">The Group's cash capital expenditures were CZK </w:t>
      </w:r>
      <w:r>
        <w:rPr>
          <w:rFonts w:ascii="Calibri" w:eastAsiaTheme="minorHAnsi" w:hAnsi="Calibri" w:cs="Calibri"/>
          <w:sz w:val="18"/>
          <w:szCs w:val="18"/>
          <w:lang w:val="en-GB" w:eastAsia="en-US"/>
        </w:rPr>
        <w:t>115.1</w:t>
      </w:r>
      <w:r w:rsidRPr="00E6793D">
        <w:rPr>
          <w:rFonts w:ascii="Calibri" w:eastAsiaTheme="minorHAnsi" w:hAnsi="Calibri" w:cs="Calibri"/>
          <w:sz w:val="18"/>
          <w:szCs w:val="18"/>
          <w:lang w:val="en-GB" w:eastAsia="en-US"/>
        </w:rPr>
        <w:t xml:space="preserve"> million in </w:t>
      </w:r>
      <w:r>
        <w:rPr>
          <w:rFonts w:ascii="Calibri" w:eastAsiaTheme="minorHAnsi" w:hAnsi="Calibri" w:cs="Calibri"/>
          <w:sz w:val="18"/>
          <w:szCs w:val="18"/>
          <w:lang w:val="en-GB" w:eastAsia="en-US"/>
        </w:rPr>
        <w:t>the first quarter of 2021</w:t>
      </w:r>
      <w:r w:rsidRPr="00E6793D">
        <w:rPr>
          <w:rFonts w:ascii="Calibri" w:eastAsiaTheme="minorHAnsi" w:hAnsi="Calibri" w:cs="Calibri"/>
          <w:sz w:val="18"/>
          <w:szCs w:val="18"/>
          <w:lang w:val="en-GB" w:eastAsia="en-US"/>
        </w:rPr>
        <w:t xml:space="preserve">, representing </w:t>
      </w:r>
      <w:r>
        <w:rPr>
          <w:rFonts w:ascii="Calibri" w:eastAsiaTheme="minorHAnsi" w:hAnsi="Calibri" w:cs="Calibri"/>
          <w:sz w:val="18"/>
          <w:szCs w:val="18"/>
          <w:lang w:val="en-GB" w:eastAsia="en-US"/>
        </w:rPr>
        <w:t>5.6</w:t>
      </w:r>
      <w:r w:rsidRPr="00E6793D">
        <w:rPr>
          <w:rFonts w:ascii="Calibri" w:eastAsiaTheme="minorHAnsi" w:hAnsi="Calibri" w:cs="Calibri"/>
          <w:sz w:val="18"/>
          <w:szCs w:val="18"/>
          <w:lang w:val="en-GB" w:eastAsia="en-US"/>
        </w:rPr>
        <w:t xml:space="preserve">% of total revenues in </w:t>
      </w:r>
      <w:r>
        <w:rPr>
          <w:rFonts w:ascii="Calibri" w:eastAsiaTheme="minorHAnsi" w:hAnsi="Calibri" w:cs="Calibri"/>
          <w:sz w:val="18"/>
          <w:szCs w:val="18"/>
          <w:lang w:val="en-GB" w:eastAsia="en-US"/>
        </w:rPr>
        <w:t xml:space="preserve">Q1 </w:t>
      </w:r>
      <w:r w:rsidRPr="00E6793D">
        <w:rPr>
          <w:rFonts w:ascii="Calibri" w:eastAsiaTheme="minorHAnsi" w:hAnsi="Calibri" w:cs="Calibri"/>
          <w:sz w:val="18"/>
          <w:szCs w:val="18"/>
          <w:lang w:val="en-GB" w:eastAsia="en-US"/>
        </w:rPr>
        <w:t>202</w:t>
      </w:r>
      <w:r>
        <w:rPr>
          <w:rFonts w:ascii="Calibri" w:eastAsiaTheme="minorHAnsi" w:hAnsi="Calibri" w:cs="Calibri"/>
          <w:sz w:val="18"/>
          <w:szCs w:val="18"/>
          <w:lang w:val="en-GB" w:eastAsia="en-US"/>
        </w:rPr>
        <w:t>1, in line with the guidance (5-7% of 2021 revenues)</w:t>
      </w:r>
      <w:r w:rsidRPr="00E6793D">
        <w:rPr>
          <w:rFonts w:ascii="Calibri" w:eastAsiaTheme="minorHAnsi" w:hAnsi="Calibri" w:cs="Calibri"/>
          <w:sz w:val="18"/>
          <w:szCs w:val="18"/>
          <w:lang w:val="en-GB" w:eastAsia="en-US"/>
        </w:rPr>
        <w:t>. These capital expenditures were primarily related to improvements in the Group's production machinery and capacity</w:t>
      </w:r>
      <w:r>
        <w:rPr>
          <w:rFonts w:ascii="Calibri" w:eastAsiaTheme="minorHAnsi" w:hAnsi="Calibri" w:cs="Calibri"/>
          <w:sz w:val="18"/>
          <w:szCs w:val="18"/>
          <w:lang w:val="en-GB" w:eastAsia="en-US"/>
        </w:rPr>
        <w:t>.</w:t>
      </w:r>
    </w:p>
    <w:p w14:paraId="6A82223B" w14:textId="77777777" w:rsidR="001B3BCF" w:rsidRPr="00FA182D" w:rsidRDefault="001B3BCF" w:rsidP="001B3BCF">
      <w:pPr>
        <w:spacing w:line="276" w:lineRule="auto"/>
        <w:jc w:val="both"/>
        <w:rPr>
          <w:rFonts w:ascii="Calibri" w:eastAsiaTheme="minorHAnsi" w:hAnsi="Calibri" w:cs="Calibri"/>
          <w:sz w:val="18"/>
          <w:szCs w:val="18"/>
          <w:lang w:val="en-GB" w:eastAsia="en-US"/>
        </w:rPr>
      </w:pPr>
    </w:p>
    <w:p w14:paraId="1D6813F7" w14:textId="77777777" w:rsidR="001B3BCF" w:rsidRPr="00FA182D" w:rsidRDefault="001B3BCF" w:rsidP="001B3BCF">
      <w:pPr>
        <w:spacing w:line="276" w:lineRule="auto"/>
        <w:jc w:val="both"/>
        <w:rPr>
          <w:rFonts w:ascii="Calibri" w:eastAsiaTheme="minorHAnsi" w:hAnsi="Calibri" w:cs="Calibri"/>
          <w:b/>
          <w:bCs/>
          <w:sz w:val="18"/>
          <w:szCs w:val="18"/>
          <w:lang w:val="en-GB" w:eastAsia="en-US"/>
        </w:rPr>
      </w:pPr>
      <w:r>
        <w:rPr>
          <w:rFonts w:ascii="Calibri" w:eastAsiaTheme="minorHAnsi" w:hAnsi="Calibri" w:cs="Calibri"/>
          <w:b/>
          <w:bCs/>
          <w:sz w:val="18"/>
          <w:szCs w:val="18"/>
          <w:lang w:val="en-GB" w:eastAsia="en-US"/>
        </w:rPr>
        <w:t>Updated full year</w:t>
      </w:r>
      <w:r w:rsidRPr="00FA182D">
        <w:rPr>
          <w:rFonts w:ascii="Calibri" w:eastAsiaTheme="minorHAnsi" w:hAnsi="Calibri" w:cs="Calibri"/>
          <w:b/>
          <w:bCs/>
          <w:sz w:val="18"/>
          <w:szCs w:val="18"/>
          <w:lang w:val="en-GB" w:eastAsia="en-US"/>
        </w:rPr>
        <w:t xml:space="preserve"> 2021</w:t>
      </w:r>
      <w:r>
        <w:rPr>
          <w:rFonts w:ascii="Calibri" w:eastAsiaTheme="minorHAnsi" w:hAnsi="Calibri" w:cs="Calibri"/>
          <w:b/>
          <w:bCs/>
          <w:sz w:val="18"/>
          <w:szCs w:val="18"/>
          <w:lang w:val="en-GB" w:eastAsia="en-US"/>
        </w:rPr>
        <w:t xml:space="preserve"> guidance</w:t>
      </w:r>
    </w:p>
    <w:p w14:paraId="3CD2BF1A" w14:textId="77777777" w:rsidR="001B3BCF" w:rsidRDefault="001B3BCF" w:rsidP="001B3BCF">
      <w:pPr>
        <w:spacing w:line="276" w:lineRule="auto"/>
        <w:jc w:val="both"/>
        <w:rPr>
          <w:rFonts w:ascii="Calibri" w:eastAsiaTheme="minorHAnsi" w:hAnsi="Calibri" w:cs="Calibri"/>
          <w:sz w:val="18"/>
          <w:szCs w:val="18"/>
          <w:lang w:val="en-GB" w:eastAsia="en-US"/>
        </w:rPr>
      </w:pPr>
      <w:r>
        <w:rPr>
          <w:rFonts w:ascii="Calibri" w:eastAsiaTheme="minorHAnsi" w:hAnsi="Calibri" w:cs="Calibri"/>
          <w:sz w:val="18"/>
          <w:szCs w:val="18"/>
          <w:lang w:val="en-GB" w:eastAsia="en-US"/>
        </w:rPr>
        <w:t>Given the closing of the Colt acquisition, t</w:t>
      </w:r>
      <w:r w:rsidRPr="00BC6082">
        <w:rPr>
          <w:rFonts w:ascii="Calibri" w:eastAsiaTheme="minorHAnsi" w:hAnsi="Calibri" w:cs="Calibri"/>
          <w:sz w:val="18"/>
          <w:szCs w:val="18"/>
          <w:lang w:val="en-GB" w:eastAsia="en-US"/>
        </w:rPr>
        <w:t xml:space="preserve">he management of the Company </w:t>
      </w:r>
      <w:r>
        <w:rPr>
          <w:rFonts w:ascii="Calibri" w:eastAsiaTheme="minorHAnsi" w:hAnsi="Calibri" w:cs="Calibri"/>
          <w:sz w:val="18"/>
          <w:szCs w:val="18"/>
          <w:lang w:val="en-GB" w:eastAsia="en-US"/>
        </w:rPr>
        <w:t>has updated its previously communicated guidance. CZG expects</w:t>
      </w:r>
      <w:r w:rsidRPr="00BC6082">
        <w:rPr>
          <w:rFonts w:ascii="Calibri" w:eastAsiaTheme="minorHAnsi" w:hAnsi="Calibri" w:cs="Calibri"/>
          <w:sz w:val="18"/>
          <w:szCs w:val="18"/>
          <w:lang w:val="en-GB" w:eastAsia="en-US"/>
        </w:rPr>
        <w:t xml:space="preserve"> that the total revenues</w:t>
      </w:r>
      <w:r>
        <w:rPr>
          <w:rFonts w:ascii="Calibri" w:eastAsiaTheme="minorHAnsi" w:hAnsi="Calibri" w:cs="Calibri"/>
          <w:sz w:val="18"/>
          <w:szCs w:val="18"/>
          <w:lang w:val="en-GB" w:eastAsia="en-US"/>
        </w:rPr>
        <w:t xml:space="preserve"> including Colt since the acquisition date (21 May 2021)</w:t>
      </w:r>
      <w:r w:rsidRPr="00BC6082">
        <w:rPr>
          <w:rFonts w:ascii="Calibri" w:eastAsiaTheme="minorHAnsi" w:hAnsi="Calibri" w:cs="Calibri"/>
          <w:sz w:val="18"/>
          <w:szCs w:val="18"/>
          <w:lang w:val="en-GB" w:eastAsia="en-US"/>
        </w:rPr>
        <w:t xml:space="preserve"> could reach CZK </w:t>
      </w:r>
      <w:r>
        <w:rPr>
          <w:rFonts w:ascii="Calibri" w:eastAsiaTheme="minorHAnsi" w:hAnsi="Calibri" w:cs="Calibri"/>
          <w:sz w:val="18"/>
          <w:szCs w:val="18"/>
          <w:lang w:val="en-GB" w:eastAsia="en-US"/>
        </w:rPr>
        <w:t>10.34</w:t>
      </w:r>
      <w:r w:rsidRPr="00BC6082">
        <w:rPr>
          <w:rFonts w:ascii="Calibri" w:eastAsiaTheme="minorHAnsi" w:hAnsi="Calibri" w:cs="Calibri"/>
          <w:sz w:val="18"/>
          <w:szCs w:val="18"/>
          <w:lang w:val="en-GB" w:eastAsia="en-US"/>
        </w:rPr>
        <w:t xml:space="preserve"> -</w:t>
      </w:r>
      <w:r>
        <w:rPr>
          <w:rFonts w:ascii="Calibri" w:eastAsiaTheme="minorHAnsi" w:hAnsi="Calibri" w:cs="Calibri"/>
          <w:sz w:val="18"/>
          <w:szCs w:val="18"/>
          <w:lang w:val="en-GB" w:eastAsia="en-US"/>
        </w:rPr>
        <w:t>10.64</w:t>
      </w:r>
      <w:r w:rsidRPr="00BC6082">
        <w:rPr>
          <w:rFonts w:ascii="Calibri" w:eastAsiaTheme="minorHAnsi" w:hAnsi="Calibri" w:cs="Calibri"/>
          <w:sz w:val="18"/>
          <w:szCs w:val="18"/>
          <w:lang w:val="en-GB" w:eastAsia="en-US"/>
        </w:rPr>
        <w:t xml:space="preserve"> billion in 2021. The expected EBITDA</w:t>
      </w:r>
      <w:r>
        <w:rPr>
          <w:rFonts w:ascii="Calibri" w:eastAsiaTheme="minorHAnsi" w:hAnsi="Calibri" w:cs="Calibri"/>
          <w:sz w:val="18"/>
          <w:szCs w:val="18"/>
          <w:lang w:val="en-GB" w:eastAsia="en-US"/>
        </w:rPr>
        <w:t xml:space="preserve"> from continued operation</w:t>
      </w:r>
      <w:r w:rsidRPr="00BC6082">
        <w:rPr>
          <w:rFonts w:ascii="Calibri" w:eastAsiaTheme="minorHAnsi" w:hAnsi="Calibri" w:cs="Calibri"/>
          <w:sz w:val="18"/>
          <w:szCs w:val="18"/>
          <w:lang w:val="en-GB" w:eastAsia="en-US"/>
        </w:rPr>
        <w:t xml:space="preserve"> could reach CZK 1.</w:t>
      </w:r>
      <w:r>
        <w:rPr>
          <w:rFonts w:ascii="Calibri" w:eastAsiaTheme="minorHAnsi" w:hAnsi="Calibri" w:cs="Calibri"/>
          <w:sz w:val="18"/>
          <w:szCs w:val="18"/>
          <w:lang w:val="en-GB" w:eastAsia="en-US"/>
        </w:rPr>
        <w:t>99</w:t>
      </w:r>
      <w:r w:rsidRPr="00BC6082">
        <w:rPr>
          <w:rFonts w:ascii="Calibri" w:eastAsiaTheme="minorHAnsi" w:hAnsi="Calibri" w:cs="Calibri"/>
          <w:sz w:val="18"/>
          <w:szCs w:val="18"/>
          <w:lang w:val="en-GB" w:eastAsia="en-US"/>
        </w:rPr>
        <w:t xml:space="preserve"> – </w:t>
      </w:r>
      <w:r>
        <w:rPr>
          <w:rFonts w:ascii="Calibri" w:eastAsiaTheme="minorHAnsi" w:hAnsi="Calibri" w:cs="Calibri"/>
          <w:sz w:val="18"/>
          <w:szCs w:val="18"/>
          <w:lang w:val="en-GB" w:eastAsia="en-US"/>
        </w:rPr>
        <w:t>2.19</w:t>
      </w:r>
      <w:r w:rsidRPr="00BC6082">
        <w:rPr>
          <w:rFonts w:ascii="Calibri" w:eastAsiaTheme="minorHAnsi" w:hAnsi="Calibri" w:cs="Calibri"/>
          <w:sz w:val="18"/>
          <w:szCs w:val="18"/>
          <w:lang w:val="en-GB" w:eastAsia="en-US"/>
        </w:rPr>
        <w:t xml:space="preserve"> billion</w:t>
      </w:r>
      <w:r>
        <w:rPr>
          <w:rFonts w:ascii="Calibri" w:eastAsiaTheme="minorHAnsi" w:hAnsi="Calibri" w:cs="Calibri"/>
          <w:sz w:val="18"/>
          <w:szCs w:val="18"/>
          <w:lang w:val="en-GB" w:eastAsia="en-US"/>
        </w:rPr>
        <w:t xml:space="preserve"> </w:t>
      </w:r>
      <w:r w:rsidRPr="00BC6082">
        <w:rPr>
          <w:rFonts w:ascii="Calibri" w:eastAsiaTheme="minorHAnsi" w:hAnsi="Calibri" w:cs="Calibri"/>
          <w:sz w:val="18"/>
          <w:szCs w:val="18"/>
          <w:lang w:val="en-GB" w:eastAsia="en-US"/>
        </w:rPr>
        <w:t xml:space="preserve">in 2021. </w:t>
      </w:r>
    </w:p>
    <w:p w14:paraId="7BFA1026" w14:textId="77777777" w:rsidR="001B3BCF" w:rsidRPr="00FA182D" w:rsidRDefault="001B3BCF" w:rsidP="001B3BCF">
      <w:pPr>
        <w:spacing w:line="276" w:lineRule="auto"/>
        <w:jc w:val="both"/>
        <w:rPr>
          <w:rFonts w:ascii="Calibri" w:eastAsiaTheme="minorHAnsi" w:hAnsi="Calibri" w:cs="Calibri"/>
          <w:sz w:val="18"/>
          <w:szCs w:val="18"/>
          <w:lang w:val="en-GB" w:eastAsia="en-US"/>
        </w:rPr>
      </w:pPr>
    </w:p>
    <w:p w14:paraId="434A7B7D" w14:textId="77777777" w:rsidR="001B3BCF" w:rsidRPr="00FA182D" w:rsidRDefault="001B3BCF" w:rsidP="001B3BCF">
      <w:pPr>
        <w:spacing w:line="276" w:lineRule="auto"/>
        <w:jc w:val="both"/>
        <w:rPr>
          <w:rFonts w:ascii="Calibri" w:eastAsiaTheme="minorHAnsi" w:hAnsi="Calibri" w:cs="Calibri"/>
          <w:sz w:val="18"/>
          <w:szCs w:val="18"/>
          <w:lang w:val="en-GB" w:eastAsia="en-US"/>
        </w:rPr>
      </w:pPr>
      <w:r>
        <w:rPr>
          <w:rFonts w:ascii="Calibri" w:eastAsiaTheme="minorHAnsi" w:hAnsi="Calibri" w:cs="Calibri"/>
          <w:sz w:val="18"/>
          <w:szCs w:val="18"/>
          <w:lang w:val="en-GB" w:eastAsia="en-US"/>
        </w:rPr>
        <w:t xml:space="preserve">Given the favourable development of financial performance of both CZG and Colt at the date of this report, the management of CZG believes that it is likely that the Group could meet its full year guidance at the upper end of the range. </w:t>
      </w:r>
    </w:p>
    <w:p w14:paraId="1B7043A7" w14:textId="77777777" w:rsidR="001B3BCF" w:rsidRPr="00FA182D" w:rsidRDefault="001B3BCF" w:rsidP="001B3BCF">
      <w:pPr>
        <w:spacing w:line="276" w:lineRule="auto"/>
        <w:jc w:val="both"/>
        <w:rPr>
          <w:rFonts w:ascii="Calibri" w:eastAsiaTheme="minorHAnsi" w:hAnsi="Calibri" w:cs="Calibri"/>
          <w:sz w:val="18"/>
          <w:szCs w:val="18"/>
          <w:lang w:val="en-GB" w:eastAsia="en-US"/>
        </w:rPr>
      </w:pPr>
    </w:p>
    <w:p w14:paraId="3CE01DF5" w14:textId="77777777" w:rsidR="001B3BCF" w:rsidRPr="00FA182D" w:rsidRDefault="001B3BCF" w:rsidP="001B3BCF">
      <w:pPr>
        <w:spacing w:line="276" w:lineRule="auto"/>
        <w:jc w:val="both"/>
        <w:rPr>
          <w:rFonts w:ascii="Calibri" w:eastAsiaTheme="minorHAnsi" w:hAnsi="Calibri" w:cs="Calibri"/>
          <w:sz w:val="18"/>
          <w:szCs w:val="18"/>
          <w:lang w:val="en-GB" w:eastAsia="en-US"/>
        </w:rPr>
      </w:pPr>
      <w:r w:rsidRPr="00BC6082">
        <w:rPr>
          <w:rFonts w:ascii="Calibri" w:eastAsiaTheme="minorHAnsi" w:hAnsi="Calibri" w:cs="Calibri"/>
          <w:sz w:val="18"/>
          <w:szCs w:val="18"/>
          <w:lang w:val="en-GB" w:eastAsia="en-US"/>
        </w:rPr>
        <w:t xml:space="preserve">The main challenge for the Group remains its ability to meet </w:t>
      </w:r>
      <w:r>
        <w:rPr>
          <w:rFonts w:ascii="Calibri" w:eastAsiaTheme="minorHAnsi" w:hAnsi="Calibri" w:cs="Calibri"/>
          <w:sz w:val="18"/>
          <w:szCs w:val="18"/>
          <w:lang w:val="en-GB" w:eastAsia="en-US"/>
        </w:rPr>
        <w:t xml:space="preserve">the </w:t>
      </w:r>
      <w:r w:rsidRPr="00BC6082">
        <w:rPr>
          <w:rFonts w:ascii="Calibri" w:eastAsiaTheme="minorHAnsi" w:hAnsi="Calibri" w:cs="Calibri"/>
          <w:sz w:val="18"/>
          <w:szCs w:val="18"/>
          <w:lang w:val="en-GB" w:eastAsia="en-US"/>
        </w:rPr>
        <w:t>globally strong market demand and constrain</w:t>
      </w:r>
      <w:r>
        <w:rPr>
          <w:rFonts w:ascii="Calibri" w:eastAsiaTheme="minorHAnsi" w:hAnsi="Calibri" w:cs="Calibri"/>
          <w:sz w:val="18"/>
          <w:szCs w:val="18"/>
          <w:lang w:val="en-GB" w:eastAsia="en-US"/>
        </w:rPr>
        <w:t>t</w:t>
      </w:r>
      <w:r w:rsidRPr="00BC6082">
        <w:rPr>
          <w:rFonts w:ascii="Calibri" w:eastAsiaTheme="minorHAnsi" w:hAnsi="Calibri" w:cs="Calibri"/>
          <w:sz w:val="18"/>
          <w:szCs w:val="18"/>
          <w:lang w:val="en-GB" w:eastAsia="en-US"/>
        </w:rPr>
        <w:t>s both on the side of its own manufacturing capacity and capacity and availability of its suppliers, influenced among other factors by the prevailing fragile C</w:t>
      </w:r>
      <w:r>
        <w:rPr>
          <w:rFonts w:ascii="Calibri" w:eastAsiaTheme="minorHAnsi" w:hAnsi="Calibri" w:cs="Calibri"/>
          <w:sz w:val="18"/>
          <w:szCs w:val="18"/>
          <w:lang w:val="en-GB" w:eastAsia="en-US"/>
        </w:rPr>
        <w:t>ovid-</w:t>
      </w:r>
      <w:r w:rsidRPr="00BC6082">
        <w:rPr>
          <w:rFonts w:ascii="Calibri" w:eastAsiaTheme="minorHAnsi" w:hAnsi="Calibri" w:cs="Calibri"/>
          <w:sz w:val="18"/>
          <w:szCs w:val="18"/>
          <w:lang w:val="en-GB" w:eastAsia="en-US"/>
        </w:rPr>
        <w:t>19 operating environment.</w:t>
      </w:r>
    </w:p>
    <w:p w14:paraId="7CEA13FF" w14:textId="77777777" w:rsidR="001B3BCF" w:rsidRPr="00FA182D" w:rsidRDefault="001B3BCF" w:rsidP="001B3BCF">
      <w:pPr>
        <w:spacing w:line="276" w:lineRule="auto"/>
        <w:jc w:val="both"/>
        <w:rPr>
          <w:rFonts w:ascii="Calibri" w:eastAsiaTheme="minorHAnsi" w:hAnsi="Calibri" w:cs="Calibri"/>
          <w:sz w:val="18"/>
          <w:szCs w:val="18"/>
          <w:lang w:val="en-GB" w:eastAsia="en-US"/>
        </w:rPr>
      </w:pPr>
    </w:p>
    <w:p w14:paraId="3B0E0F3B" w14:textId="77777777" w:rsidR="001B3BCF" w:rsidRPr="00FA182D" w:rsidRDefault="001B3BCF" w:rsidP="001B3BCF">
      <w:pPr>
        <w:spacing w:line="276" w:lineRule="auto"/>
        <w:jc w:val="both"/>
        <w:rPr>
          <w:rFonts w:ascii="Calibri" w:eastAsiaTheme="minorHAnsi" w:hAnsi="Calibri" w:cs="Calibri"/>
          <w:b/>
          <w:bCs/>
          <w:sz w:val="18"/>
          <w:szCs w:val="18"/>
          <w:lang w:val="en-GB" w:eastAsia="en-US"/>
        </w:rPr>
      </w:pPr>
      <w:r>
        <w:rPr>
          <w:rFonts w:ascii="Calibri" w:eastAsiaTheme="minorHAnsi" w:hAnsi="Calibri" w:cs="Calibri"/>
          <w:b/>
          <w:bCs/>
          <w:sz w:val="18"/>
          <w:szCs w:val="18"/>
          <w:lang w:val="en-GB" w:eastAsia="en-US"/>
        </w:rPr>
        <w:t xml:space="preserve">The upcoming general meeting of shareholders outside its meeting </w:t>
      </w:r>
      <w:r w:rsidRPr="00FA182D">
        <w:rPr>
          <w:rFonts w:ascii="Calibri" w:eastAsiaTheme="minorHAnsi" w:hAnsi="Calibri" w:cs="Calibri"/>
          <w:b/>
          <w:bCs/>
          <w:sz w:val="18"/>
          <w:szCs w:val="18"/>
          <w:lang w:val="en-GB" w:eastAsia="en-US"/>
        </w:rPr>
        <w:t xml:space="preserve">(per rollam) </w:t>
      </w:r>
      <w:r>
        <w:rPr>
          <w:rFonts w:ascii="Calibri" w:eastAsiaTheme="minorHAnsi" w:hAnsi="Calibri" w:cs="Calibri"/>
          <w:b/>
          <w:bCs/>
          <w:sz w:val="18"/>
          <w:szCs w:val="18"/>
          <w:lang w:val="en-GB" w:eastAsia="en-US"/>
        </w:rPr>
        <w:t xml:space="preserve">and approval of the dividend </w:t>
      </w:r>
    </w:p>
    <w:p w14:paraId="256B0BFF" w14:textId="77777777" w:rsidR="001B3BCF" w:rsidRPr="00FA182D" w:rsidRDefault="001B3BCF" w:rsidP="001B3BCF">
      <w:pPr>
        <w:spacing w:before="120" w:line="276" w:lineRule="auto"/>
        <w:jc w:val="both"/>
        <w:rPr>
          <w:rFonts w:ascii="Calibri" w:eastAsiaTheme="minorHAnsi" w:hAnsi="Calibri" w:cs="Calibri"/>
          <w:sz w:val="18"/>
          <w:szCs w:val="18"/>
          <w:lang w:val="en-GB" w:eastAsia="en-US"/>
        </w:rPr>
      </w:pPr>
      <w:r w:rsidRPr="00F520C0">
        <w:rPr>
          <w:rFonts w:ascii="Calibri" w:eastAsiaTheme="minorHAnsi" w:hAnsi="Calibri" w:cs="Calibri"/>
          <w:sz w:val="18"/>
          <w:szCs w:val="18"/>
          <w:lang w:val="en-GB" w:eastAsia="en-US"/>
        </w:rPr>
        <w:t>In line with the adopted dividend policy to distribute one third of its consolidated net profit, the Company will propose a dividend payment of CZK 7.5 per share from the consolidated net profit for 2020. The dividend proposal is subject to approval of the General Meeting of Shareholders</w:t>
      </w:r>
      <w:r>
        <w:rPr>
          <w:rFonts w:ascii="Calibri" w:eastAsiaTheme="minorHAnsi" w:hAnsi="Calibri" w:cs="Calibri"/>
          <w:sz w:val="18"/>
          <w:szCs w:val="18"/>
          <w:lang w:val="en-GB" w:eastAsia="en-US"/>
        </w:rPr>
        <w:t xml:space="preserve"> which will take place per rollam in June 2021.</w:t>
      </w:r>
    </w:p>
    <w:p w14:paraId="16B80D02" w14:textId="77777777" w:rsidR="001B3BCF" w:rsidRPr="00FA182D" w:rsidRDefault="001B3BCF" w:rsidP="001B3BCF">
      <w:pPr>
        <w:spacing w:line="276" w:lineRule="auto"/>
        <w:jc w:val="both"/>
        <w:rPr>
          <w:rFonts w:ascii="Calibri" w:eastAsiaTheme="minorHAnsi" w:hAnsi="Calibri" w:cs="Calibri"/>
          <w:sz w:val="18"/>
          <w:szCs w:val="18"/>
          <w:lang w:val="en-GB" w:eastAsia="en-US"/>
        </w:rPr>
      </w:pPr>
    </w:p>
    <w:p w14:paraId="2DD7B143" w14:textId="77777777" w:rsidR="001B3BCF" w:rsidRPr="00FA182D" w:rsidRDefault="001B3BCF" w:rsidP="001B3BCF">
      <w:pPr>
        <w:spacing w:line="276" w:lineRule="auto"/>
        <w:jc w:val="both"/>
        <w:rPr>
          <w:rFonts w:ascii="Calibri" w:eastAsiaTheme="minorHAnsi" w:hAnsi="Calibri" w:cs="Calibri"/>
          <w:b/>
          <w:bCs/>
          <w:sz w:val="18"/>
          <w:szCs w:val="18"/>
          <w:lang w:val="en-GB" w:eastAsia="en-US"/>
        </w:rPr>
      </w:pPr>
      <w:r>
        <w:rPr>
          <w:rFonts w:ascii="Calibri" w:eastAsiaTheme="minorHAnsi" w:hAnsi="Calibri" w:cs="Calibri"/>
          <w:b/>
          <w:bCs/>
          <w:sz w:val="18"/>
          <w:szCs w:val="18"/>
          <w:lang w:val="en-GB" w:eastAsia="en-US"/>
        </w:rPr>
        <w:t xml:space="preserve">Colt’s acquisition and its Q1 2021 figures </w:t>
      </w:r>
    </w:p>
    <w:p w14:paraId="46B81F45" w14:textId="77777777" w:rsidR="001B3BCF" w:rsidRPr="00FA182D" w:rsidRDefault="001B3BCF" w:rsidP="001B3BCF">
      <w:pPr>
        <w:spacing w:before="120" w:line="276" w:lineRule="auto"/>
        <w:jc w:val="both"/>
        <w:rPr>
          <w:rFonts w:ascii="Calibri" w:eastAsiaTheme="minorHAnsi" w:hAnsi="Calibri" w:cs="Calibri"/>
          <w:sz w:val="18"/>
          <w:szCs w:val="18"/>
          <w:lang w:val="en-GB" w:eastAsia="en-US"/>
        </w:rPr>
      </w:pPr>
      <w:r>
        <w:rPr>
          <w:rFonts w:ascii="Calibri" w:eastAsiaTheme="minorHAnsi" w:hAnsi="Calibri" w:cs="Calibri"/>
          <w:sz w:val="18"/>
          <w:szCs w:val="18"/>
          <w:lang w:val="en-GB" w:eastAsia="en-US"/>
        </w:rPr>
        <w:t>CZG</w:t>
      </w:r>
      <w:r w:rsidRPr="00F520C0">
        <w:rPr>
          <w:rFonts w:ascii="Calibri" w:eastAsiaTheme="minorHAnsi" w:hAnsi="Calibri" w:cs="Calibri"/>
          <w:sz w:val="18"/>
          <w:szCs w:val="18"/>
          <w:lang w:val="en-GB" w:eastAsia="en-US"/>
        </w:rPr>
        <w:t xml:space="preserve"> announced </w:t>
      </w:r>
      <w:r>
        <w:rPr>
          <w:rFonts w:ascii="Calibri" w:eastAsiaTheme="minorHAnsi" w:hAnsi="Calibri" w:cs="Calibri"/>
          <w:sz w:val="18"/>
          <w:szCs w:val="18"/>
          <w:lang w:val="en-GB" w:eastAsia="en-US"/>
        </w:rPr>
        <w:t>this week that</w:t>
      </w:r>
      <w:r w:rsidRPr="00F520C0">
        <w:rPr>
          <w:rFonts w:ascii="Calibri" w:eastAsiaTheme="minorHAnsi" w:hAnsi="Calibri" w:cs="Calibri"/>
          <w:sz w:val="18"/>
          <w:szCs w:val="18"/>
          <w:lang w:val="en-GB" w:eastAsia="en-US"/>
        </w:rPr>
        <w:t xml:space="preserve"> after securing all </w:t>
      </w:r>
      <w:r>
        <w:rPr>
          <w:rFonts w:ascii="Calibri" w:eastAsiaTheme="minorHAnsi" w:hAnsi="Calibri" w:cs="Calibri"/>
          <w:sz w:val="18"/>
          <w:szCs w:val="18"/>
          <w:lang w:val="en-GB" w:eastAsia="en-US"/>
        </w:rPr>
        <w:t xml:space="preserve">the </w:t>
      </w:r>
      <w:r w:rsidRPr="00F520C0">
        <w:rPr>
          <w:rFonts w:ascii="Calibri" w:eastAsiaTheme="minorHAnsi" w:hAnsi="Calibri" w:cs="Calibri"/>
          <w:sz w:val="18"/>
          <w:szCs w:val="18"/>
          <w:lang w:val="en-GB" w:eastAsia="en-US"/>
        </w:rPr>
        <w:t>necessary regulatory approvals from the U.S. and Canadian authorities, it has successfully closed on its acquisition of 100% of the equity interest in Colt Holding Company LLC, the parent company of the U.S. firearms manufacturer, Colt’s Manufacturing Company LLC as well as its Canadian subsidiary, Colt Canada Corporation.</w:t>
      </w:r>
    </w:p>
    <w:p w14:paraId="2094824B" w14:textId="77777777" w:rsidR="001B3BCF" w:rsidRPr="00FA182D" w:rsidRDefault="001B3BCF" w:rsidP="001B3BCF">
      <w:pPr>
        <w:spacing w:before="120" w:line="276" w:lineRule="auto"/>
        <w:jc w:val="both"/>
        <w:rPr>
          <w:rFonts w:ascii="Calibri" w:eastAsiaTheme="minorHAnsi" w:hAnsi="Calibri" w:cs="Calibri"/>
          <w:sz w:val="18"/>
          <w:szCs w:val="18"/>
          <w:lang w:val="en-GB" w:eastAsia="en-US"/>
        </w:rPr>
      </w:pPr>
      <w:r w:rsidRPr="00100E36">
        <w:rPr>
          <w:rFonts w:ascii="Calibri" w:eastAsiaTheme="minorHAnsi" w:hAnsi="Calibri" w:cs="Calibri"/>
          <w:sz w:val="18"/>
          <w:szCs w:val="18"/>
          <w:lang w:val="en-GB" w:eastAsia="en-US"/>
        </w:rPr>
        <w:t xml:space="preserve">CZG and Colt are confident that the merger will bring significant operational, commercial, and R&amp;D synergies for the combined business, which generated pro-forma aggregated annual sales in excess of USD 570 million in 2020 and which has more than 2,000 employees in the Czech Republic, the United States, Canada and Germany. </w:t>
      </w:r>
      <w:r>
        <w:rPr>
          <w:rFonts w:ascii="Calibri" w:eastAsiaTheme="minorHAnsi" w:hAnsi="Calibri" w:cs="Calibri"/>
          <w:sz w:val="18"/>
          <w:szCs w:val="18"/>
          <w:lang w:val="en-GB" w:eastAsia="en-US"/>
        </w:rPr>
        <w:t xml:space="preserve">In the first quarter of 2021, Colt reached revenues of CZK 1.4 bn and adjusted EBITDA of CZK </w:t>
      </w:r>
      <w:r w:rsidRPr="00FA182D">
        <w:rPr>
          <w:rFonts w:ascii="Calibri" w:eastAsiaTheme="minorHAnsi" w:hAnsi="Calibri" w:cs="Calibri"/>
          <w:sz w:val="18"/>
          <w:szCs w:val="18"/>
          <w:lang w:val="en-GB" w:eastAsia="en-US"/>
        </w:rPr>
        <w:t>319</w:t>
      </w:r>
      <w:r>
        <w:rPr>
          <w:rFonts w:ascii="Calibri" w:eastAsiaTheme="minorHAnsi" w:hAnsi="Calibri" w:cs="Calibri"/>
          <w:sz w:val="18"/>
          <w:szCs w:val="18"/>
          <w:lang w:val="en-GB" w:eastAsia="en-US"/>
        </w:rPr>
        <w:t>.</w:t>
      </w:r>
      <w:r w:rsidRPr="00FA182D">
        <w:rPr>
          <w:rFonts w:ascii="Calibri" w:eastAsiaTheme="minorHAnsi" w:hAnsi="Calibri" w:cs="Calibri"/>
          <w:sz w:val="18"/>
          <w:szCs w:val="18"/>
          <w:lang w:val="en-GB" w:eastAsia="en-US"/>
        </w:rPr>
        <w:t xml:space="preserve">7 </w:t>
      </w:r>
      <w:r>
        <w:rPr>
          <w:rFonts w:ascii="Calibri" w:eastAsiaTheme="minorHAnsi" w:hAnsi="Calibri" w:cs="Calibri"/>
          <w:sz w:val="18"/>
          <w:szCs w:val="18"/>
          <w:lang w:val="en-GB" w:eastAsia="en-US"/>
        </w:rPr>
        <w:t>million</w:t>
      </w:r>
      <w:r w:rsidRPr="00FA182D">
        <w:rPr>
          <w:rFonts w:ascii="Calibri" w:eastAsiaTheme="minorHAnsi" w:hAnsi="Calibri" w:cs="Calibri"/>
          <w:sz w:val="18"/>
          <w:szCs w:val="18"/>
          <w:lang w:val="en-GB" w:eastAsia="en-US"/>
        </w:rPr>
        <w:t xml:space="preserve"> </w:t>
      </w:r>
      <w:r w:rsidRPr="00FA182D">
        <w:rPr>
          <w:rStyle w:val="Znakapoznpodarou"/>
          <w:rFonts w:ascii="Calibri" w:eastAsiaTheme="minorHAnsi" w:hAnsi="Calibri" w:cs="Calibri"/>
          <w:sz w:val="18"/>
          <w:szCs w:val="18"/>
          <w:lang w:val="en-GB" w:eastAsia="en-US"/>
        </w:rPr>
        <w:footnoteReference w:id="3"/>
      </w:r>
      <w:r w:rsidRPr="00FA182D">
        <w:rPr>
          <w:rFonts w:ascii="Calibri" w:eastAsiaTheme="minorHAnsi" w:hAnsi="Calibri" w:cs="Calibri"/>
          <w:sz w:val="18"/>
          <w:szCs w:val="18"/>
          <w:lang w:val="en-GB" w:eastAsia="en-US"/>
        </w:rPr>
        <w:t>.</w:t>
      </w:r>
    </w:p>
    <w:p w14:paraId="7C57441F" w14:textId="77777777" w:rsidR="001B3BCF" w:rsidRPr="00FA182D" w:rsidRDefault="001B3BCF" w:rsidP="001B3BCF">
      <w:pPr>
        <w:spacing w:line="276" w:lineRule="auto"/>
        <w:jc w:val="both"/>
        <w:rPr>
          <w:rFonts w:ascii="Calibri" w:hAnsi="Calibri" w:cs="Calibri"/>
          <w:b/>
          <w:bCs/>
          <w:color w:val="000000" w:themeColor="text1"/>
          <w:sz w:val="18"/>
          <w:szCs w:val="18"/>
          <w:shd w:val="clear" w:color="auto" w:fill="FFFFFF"/>
          <w:lang w:val="en-GB"/>
        </w:rPr>
      </w:pPr>
      <w:r w:rsidRPr="00FA182D">
        <w:rPr>
          <w:rFonts w:ascii="Calibri" w:hAnsi="Calibri" w:cs="Calibri"/>
          <w:b/>
          <w:bCs/>
          <w:color w:val="000000" w:themeColor="text1"/>
          <w:sz w:val="18"/>
          <w:szCs w:val="18"/>
          <w:shd w:val="clear" w:color="auto" w:fill="FFFFFF"/>
          <w:lang w:val="en-GB"/>
        </w:rPr>
        <w:t xml:space="preserve"> </w:t>
      </w:r>
    </w:p>
    <w:p w14:paraId="3ADD410A" w14:textId="77777777" w:rsidR="001B3BCF" w:rsidRPr="002970F7" w:rsidRDefault="001B3BCF" w:rsidP="001B3BCF">
      <w:pPr>
        <w:keepNext/>
        <w:spacing w:line="276" w:lineRule="auto"/>
        <w:jc w:val="both"/>
        <w:rPr>
          <w:rFonts w:ascii="Calibri" w:hAnsi="Calibri" w:cs="Calibri"/>
          <w:b/>
          <w:bCs/>
          <w:color w:val="000000" w:themeColor="text1"/>
          <w:sz w:val="18"/>
          <w:szCs w:val="18"/>
          <w:shd w:val="clear" w:color="auto" w:fill="FFFFFF"/>
          <w:lang w:val="en-GB"/>
        </w:rPr>
      </w:pPr>
      <w:r w:rsidRPr="002970F7">
        <w:rPr>
          <w:rFonts w:ascii="Calibri" w:hAnsi="Calibri" w:cs="Calibri"/>
          <w:b/>
          <w:bCs/>
          <w:color w:val="000000" w:themeColor="text1"/>
          <w:sz w:val="18"/>
          <w:szCs w:val="18"/>
          <w:shd w:val="clear" w:color="auto" w:fill="FFFFFF"/>
          <w:lang w:val="en-GB"/>
        </w:rPr>
        <w:t>About CZG - Česká zbrojovka Group SE</w:t>
      </w:r>
    </w:p>
    <w:p w14:paraId="5514E623" w14:textId="77777777" w:rsidR="001B3BCF" w:rsidRPr="00452609" w:rsidRDefault="001B3BCF" w:rsidP="001B3BCF">
      <w:pPr>
        <w:spacing w:line="276" w:lineRule="auto"/>
        <w:jc w:val="both"/>
        <w:rPr>
          <w:rFonts w:ascii="Calibri" w:hAnsi="Calibri" w:cs="Calibri"/>
          <w:color w:val="000000" w:themeColor="text1"/>
          <w:sz w:val="18"/>
          <w:szCs w:val="18"/>
          <w:shd w:val="clear" w:color="auto" w:fill="FFFFFF"/>
          <w:lang w:val="en-GB"/>
        </w:rPr>
      </w:pPr>
    </w:p>
    <w:p w14:paraId="1DCDADD3" w14:textId="77777777" w:rsidR="001B3BCF" w:rsidRDefault="001B3BCF" w:rsidP="001B3BCF">
      <w:pPr>
        <w:spacing w:line="276" w:lineRule="auto"/>
        <w:jc w:val="both"/>
        <w:rPr>
          <w:rFonts w:ascii="Calibri" w:hAnsi="Calibri" w:cs="Calibri"/>
          <w:color w:val="000000" w:themeColor="text1"/>
          <w:sz w:val="18"/>
          <w:szCs w:val="18"/>
          <w:shd w:val="clear" w:color="auto" w:fill="FFFFFF"/>
          <w:lang w:val="en-GB"/>
        </w:rPr>
      </w:pPr>
      <w:r w:rsidRPr="00452609">
        <w:rPr>
          <w:rFonts w:ascii="Calibri" w:hAnsi="Calibri" w:cs="Calibri"/>
          <w:color w:val="000000" w:themeColor="text1"/>
          <w:sz w:val="18"/>
          <w:szCs w:val="18"/>
          <w:shd w:val="clear" w:color="auto" w:fill="FFFFFF"/>
          <w:lang w:val="en-GB"/>
        </w:rPr>
        <w:t>CZG – Česká zbrojovka Group (CZG), together with its subsidiaries, is one of the leading European producers of firearms for military and law enforcement, personal defen</w:t>
      </w:r>
      <w:r>
        <w:rPr>
          <w:rFonts w:ascii="Calibri" w:hAnsi="Calibri" w:cs="Calibri"/>
          <w:color w:val="000000" w:themeColor="text1"/>
          <w:sz w:val="18"/>
          <w:szCs w:val="18"/>
          <w:shd w:val="clear" w:color="auto" w:fill="FFFFFF"/>
          <w:lang w:val="en-GB"/>
        </w:rPr>
        <w:t>c</w:t>
      </w:r>
      <w:r w:rsidRPr="00452609">
        <w:rPr>
          <w:rFonts w:ascii="Calibri" w:hAnsi="Calibri" w:cs="Calibri"/>
          <w:color w:val="000000" w:themeColor="text1"/>
          <w:sz w:val="18"/>
          <w:szCs w:val="18"/>
          <w:shd w:val="clear" w:color="auto" w:fill="FFFFFF"/>
          <w:lang w:val="en-GB"/>
        </w:rPr>
        <w:t>e, hunting, sport shooting and other commercial use. CZG markets and sells its products mainly under the CZ (Česká zbrojovka</w:t>
      </w:r>
      <w:r w:rsidRPr="00D9622A">
        <w:rPr>
          <w:rFonts w:ascii="Calibri" w:hAnsi="Calibri" w:cs="Calibri"/>
          <w:color w:val="000000" w:themeColor="text1"/>
          <w:sz w:val="18"/>
          <w:szCs w:val="18"/>
          <w:shd w:val="clear" w:color="auto" w:fill="FFFFFF"/>
          <w:lang w:val="en-GB"/>
        </w:rPr>
        <w:t>), CZ-USA, Colt, Colt Canada, Dan Wesson, Brno Rifles and 4M Systems brands. CZG’s subsidiaries include Česká zbrojovka, Colt</w:t>
      </w:r>
      <w:r>
        <w:rPr>
          <w:rFonts w:ascii="Calibri" w:hAnsi="Calibri" w:cs="Calibri"/>
          <w:color w:val="000000" w:themeColor="text1"/>
          <w:sz w:val="18"/>
          <w:szCs w:val="18"/>
          <w:shd w:val="clear" w:color="auto" w:fill="FFFFFF"/>
          <w:lang w:val="en-GB"/>
        </w:rPr>
        <w:t>’s</w:t>
      </w:r>
      <w:r w:rsidRPr="00D9622A">
        <w:rPr>
          <w:rFonts w:ascii="Calibri" w:hAnsi="Calibri" w:cs="Calibri"/>
          <w:color w:val="000000" w:themeColor="text1"/>
          <w:sz w:val="18"/>
          <w:szCs w:val="18"/>
          <w:shd w:val="clear" w:color="auto" w:fill="FFFFFF"/>
          <w:lang w:val="en-GB"/>
        </w:rPr>
        <w:t xml:space="preserve"> Manufacturing Company, Colt Canada Corporation, CZ</w:t>
      </w:r>
      <w:r w:rsidRPr="00452609">
        <w:rPr>
          <w:rFonts w:ascii="Calibri" w:hAnsi="Calibri" w:cs="Calibri"/>
          <w:color w:val="000000" w:themeColor="text1"/>
          <w:sz w:val="18"/>
          <w:szCs w:val="18"/>
          <w:shd w:val="clear" w:color="auto" w:fill="FFFFFF"/>
          <w:lang w:val="en-GB"/>
        </w:rPr>
        <w:t xml:space="preserve">-USA, 4M Systems and CZ Export Praha. CZG </w:t>
      </w:r>
      <w:r>
        <w:rPr>
          <w:rFonts w:ascii="Calibri" w:hAnsi="Calibri" w:cs="Calibri"/>
          <w:color w:val="000000" w:themeColor="text1"/>
          <w:sz w:val="18"/>
          <w:szCs w:val="18"/>
          <w:shd w:val="clear" w:color="auto" w:fill="FFFFFF"/>
          <w:lang w:val="en-GB"/>
        </w:rPr>
        <w:t xml:space="preserve">also </w:t>
      </w:r>
      <w:r w:rsidRPr="00452609">
        <w:rPr>
          <w:rFonts w:ascii="Calibri" w:hAnsi="Calibri" w:cs="Calibri"/>
          <w:color w:val="000000" w:themeColor="text1"/>
          <w:sz w:val="18"/>
          <w:szCs w:val="18"/>
          <w:shd w:val="clear" w:color="auto" w:fill="FFFFFF"/>
          <w:lang w:val="en-GB"/>
        </w:rPr>
        <w:t xml:space="preserve">owns a minority stake in Spuhr i Dalby, a Swedish manufacturer of optical mounting solutions for </w:t>
      </w:r>
      <w:r>
        <w:rPr>
          <w:rFonts w:ascii="Calibri" w:hAnsi="Calibri" w:cs="Calibri"/>
          <w:color w:val="000000" w:themeColor="text1"/>
          <w:sz w:val="18"/>
          <w:szCs w:val="18"/>
          <w:shd w:val="clear" w:color="auto" w:fill="FFFFFF"/>
          <w:lang w:val="en-GB"/>
        </w:rPr>
        <w:t>firearms</w:t>
      </w:r>
      <w:r w:rsidRPr="00452609">
        <w:rPr>
          <w:rFonts w:ascii="Calibri" w:hAnsi="Calibri" w:cs="Calibri"/>
          <w:color w:val="000000" w:themeColor="text1"/>
          <w:sz w:val="18"/>
          <w:szCs w:val="18"/>
          <w:shd w:val="clear" w:color="auto" w:fill="FFFFFF"/>
          <w:lang w:val="en-GB"/>
        </w:rPr>
        <w:t>.</w:t>
      </w:r>
    </w:p>
    <w:p w14:paraId="76923AB6" w14:textId="77777777" w:rsidR="001B3BCF" w:rsidRDefault="001B3BCF" w:rsidP="001B3BCF">
      <w:pPr>
        <w:spacing w:line="276" w:lineRule="auto"/>
        <w:jc w:val="both"/>
        <w:rPr>
          <w:rFonts w:ascii="Calibri" w:hAnsi="Calibri" w:cs="Calibri"/>
          <w:color w:val="000000" w:themeColor="text1"/>
          <w:sz w:val="18"/>
          <w:szCs w:val="18"/>
          <w:shd w:val="clear" w:color="auto" w:fill="FFFFFF"/>
          <w:lang w:val="en-GB"/>
        </w:rPr>
      </w:pPr>
    </w:p>
    <w:p w14:paraId="62E347C2" w14:textId="77777777" w:rsidR="001B3BCF" w:rsidRPr="00FA182D" w:rsidRDefault="001B3BCF" w:rsidP="001B3BCF">
      <w:pPr>
        <w:spacing w:line="276" w:lineRule="auto"/>
        <w:jc w:val="both"/>
        <w:rPr>
          <w:rFonts w:ascii="Calibri" w:hAnsi="Calibri" w:cs="Calibri"/>
          <w:color w:val="000000" w:themeColor="text1"/>
          <w:sz w:val="18"/>
          <w:szCs w:val="18"/>
          <w:shd w:val="clear" w:color="auto" w:fill="FFFFFF"/>
          <w:lang w:val="en-GB"/>
        </w:rPr>
      </w:pPr>
      <w:r w:rsidRPr="00452609">
        <w:rPr>
          <w:rFonts w:ascii="Calibri" w:hAnsi="Calibri" w:cs="Calibri"/>
          <w:color w:val="000000" w:themeColor="text1"/>
          <w:sz w:val="18"/>
          <w:szCs w:val="18"/>
          <w:shd w:val="clear" w:color="auto" w:fill="FFFFFF"/>
          <w:lang w:val="en-GB"/>
        </w:rPr>
        <w:t>CZG is headquartered in the Czech Republic</w:t>
      </w:r>
      <w:r>
        <w:rPr>
          <w:rFonts w:ascii="Calibri" w:hAnsi="Calibri" w:cs="Calibri"/>
          <w:color w:val="000000" w:themeColor="text1"/>
          <w:sz w:val="18"/>
          <w:szCs w:val="18"/>
          <w:shd w:val="clear" w:color="auto" w:fill="FFFFFF"/>
          <w:lang w:val="en-GB"/>
        </w:rPr>
        <w:t xml:space="preserve"> and </w:t>
      </w:r>
      <w:r w:rsidRPr="00452609">
        <w:rPr>
          <w:rFonts w:ascii="Calibri" w:hAnsi="Calibri" w:cs="Calibri"/>
          <w:color w:val="000000" w:themeColor="text1"/>
          <w:sz w:val="18"/>
          <w:szCs w:val="18"/>
          <w:shd w:val="clear" w:color="auto" w:fill="FFFFFF"/>
          <w:lang w:val="en-GB"/>
        </w:rPr>
        <w:t>has production facilities in the Czech Republic</w:t>
      </w:r>
      <w:r>
        <w:rPr>
          <w:rFonts w:ascii="Calibri" w:hAnsi="Calibri" w:cs="Calibri"/>
          <w:color w:val="000000" w:themeColor="text1"/>
          <w:sz w:val="18"/>
          <w:szCs w:val="18"/>
          <w:shd w:val="clear" w:color="auto" w:fill="FFFFFF"/>
          <w:lang w:val="en-GB"/>
        </w:rPr>
        <w:t>,</w:t>
      </w:r>
      <w:r w:rsidRPr="00452609">
        <w:rPr>
          <w:rFonts w:ascii="Calibri" w:hAnsi="Calibri" w:cs="Calibri"/>
          <w:color w:val="000000" w:themeColor="text1"/>
          <w:sz w:val="18"/>
          <w:szCs w:val="18"/>
          <w:shd w:val="clear" w:color="auto" w:fill="FFFFFF"/>
          <w:lang w:val="en-GB"/>
        </w:rPr>
        <w:t xml:space="preserve"> the United States </w:t>
      </w:r>
      <w:r>
        <w:rPr>
          <w:rFonts w:ascii="Calibri" w:hAnsi="Calibri" w:cs="Calibri"/>
          <w:color w:val="000000" w:themeColor="text1"/>
          <w:sz w:val="18"/>
          <w:szCs w:val="18"/>
          <w:shd w:val="clear" w:color="auto" w:fill="FFFFFF"/>
          <w:lang w:val="en-GB"/>
        </w:rPr>
        <w:t xml:space="preserve">and Canada. It </w:t>
      </w:r>
      <w:r w:rsidRPr="00452609">
        <w:rPr>
          <w:rFonts w:ascii="Calibri" w:hAnsi="Calibri" w:cs="Calibri"/>
          <w:color w:val="000000" w:themeColor="text1"/>
          <w:sz w:val="18"/>
          <w:szCs w:val="18"/>
          <w:shd w:val="clear" w:color="auto" w:fill="FFFFFF"/>
          <w:lang w:val="en-GB"/>
        </w:rPr>
        <w:t xml:space="preserve">employs around </w:t>
      </w:r>
      <w:r>
        <w:rPr>
          <w:rFonts w:ascii="Calibri" w:hAnsi="Calibri" w:cs="Calibri"/>
          <w:color w:val="000000" w:themeColor="text1"/>
          <w:sz w:val="18"/>
          <w:szCs w:val="18"/>
          <w:shd w:val="clear" w:color="auto" w:fill="FFFFFF"/>
          <w:lang w:val="en-GB"/>
        </w:rPr>
        <w:t>2</w:t>
      </w:r>
      <w:r w:rsidRPr="00452609">
        <w:rPr>
          <w:rFonts w:ascii="Calibri" w:hAnsi="Calibri" w:cs="Calibri"/>
          <w:color w:val="000000" w:themeColor="text1"/>
          <w:sz w:val="18"/>
          <w:szCs w:val="18"/>
          <w:shd w:val="clear" w:color="auto" w:fill="FFFFFF"/>
          <w:lang w:val="en-GB"/>
        </w:rPr>
        <w:t>,</w:t>
      </w:r>
      <w:r>
        <w:rPr>
          <w:rFonts w:ascii="Calibri" w:hAnsi="Calibri" w:cs="Calibri"/>
          <w:color w:val="000000" w:themeColor="text1"/>
          <w:sz w:val="18"/>
          <w:szCs w:val="18"/>
          <w:shd w:val="clear" w:color="auto" w:fill="FFFFFF"/>
          <w:lang w:val="en-GB"/>
        </w:rPr>
        <w:t xml:space="preserve">000 </w:t>
      </w:r>
      <w:r w:rsidRPr="00452609">
        <w:rPr>
          <w:rFonts w:ascii="Calibri" w:hAnsi="Calibri" w:cs="Calibri"/>
          <w:color w:val="000000" w:themeColor="text1"/>
          <w:sz w:val="18"/>
          <w:szCs w:val="18"/>
          <w:shd w:val="clear" w:color="auto" w:fill="FFFFFF"/>
          <w:lang w:val="en-GB"/>
        </w:rPr>
        <w:t xml:space="preserve">people in the Czech Republic, the </w:t>
      </w:r>
      <w:r>
        <w:rPr>
          <w:rFonts w:ascii="Calibri" w:hAnsi="Calibri" w:cs="Calibri"/>
          <w:color w:val="000000" w:themeColor="text1"/>
          <w:sz w:val="18"/>
          <w:szCs w:val="18"/>
          <w:shd w:val="clear" w:color="auto" w:fill="FFFFFF"/>
          <w:lang w:val="en-GB"/>
        </w:rPr>
        <w:t>USA, Canada</w:t>
      </w:r>
      <w:r w:rsidRPr="00452609">
        <w:rPr>
          <w:rFonts w:ascii="Calibri" w:hAnsi="Calibri" w:cs="Calibri"/>
          <w:color w:val="000000" w:themeColor="text1"/>
          <w:sz w:val="18"/>
          <w:szCs w:val="18"/>
          <w:shd w:val="clear" w:color="auto" w:fill="FFFFFF"/>
          <w:lang w:val="en-GB"/>
        </w:rPr>
        <w:t xml:space="preserve"> and Germany.</w:t>
      </w:r>
    </w:p>
    <w:p w14:paraId="4444D031" w14:textId="77777777" w:rsidR="001B3BCF" w:rsidRPr="00FA182D" w:rsidRDefault="001B3BCF" w:rsidP="001B3BCF">
      <w:pPr>
        <w:spacing w:line="276" w:lineRule="auto"/>
        <w:jc w:val="both"/>
        <w:rPr>
          <w:rFonts w:ascii="Calibri" w:hAnsi="Calibri" w:cs="Calibri"/>
          <w:b/>
          <w:bCs/>
          <w:color w:val="000000" w:themeColor="text1"/>
          <w:sz w:val="18"/>
          <w:szCs w:val="18"/>
          <w:lang w:val="en-GB"/>
        </w:rPr>
      </w:pPr>
    </w:p>
    <w:p w14:paraId="1EF3C52A" w14:textId="77777777" w:rsidR="001B3BCF" w:rsidRPr="00FA182D" w:rsidRDefault="001B3BCF" w:rsidP="001B3BCF">
      <w:pPr>
        <w:spacing w:line="276" w:lineRule="auto"/>
        <w:jc w:val="both"/>
        <w:rPr>
          <w:rFonts w:ascii="Calibri" w:hAnsi="Calibri" w:cs="Calibri"/>
          <w:i/>
          <w:iCs/>
          <w:color w:val="000000" w:themeColor="text1"/>
          <w:sz w:val="18"/>
          <w:szCs w:val="18"/>
          <w:lang w:val="en-GB"/>
        </w:rPr>
      </w:pPr>
    </w:p>
    <w:p w14:paraId="08DF9C2D" w14:textId="77777777" w:rsidR="001B3BCF" w:rsidRPr="00FA182D" w:rsidRDefault="001B3BCF" w:rsidP="001B3BCF">
      <w:pPr>
        <w:spacing w:line="276" w:lineRule="auto"/>
        <w:jc w:val="both"/>
        <w:rPr>
          <w:rFonts w:ascii="Calibri" w:hAnsi="Calibri" w:cs="Calibri"/>
          <w:i/>
          <w:iCs/>
          <w:color w:val="000000" w:themeColor="text1"/>
          <w:sz w:val="18"/>
          <w:szCs w:val="18"/>
          <w:lang w:val="en-GB"/>
        </w:rPr>
      </w:pPr>
    </w:p>
    <w:p w14:paraId="05771B81" w14:textId="77777777" w:rsidR="001B3BCF" w:rsidRPr="00F410B6" w:rsidRDefault="001B3BCF" w:rsidP="001B3BCF">
      <w:pPr>
        <w:spacing w:line="276" w:lineRule="auto"/>
        <w:jc w:val="both"/>
        <w:rPr>
          <w:rFonts w:ascii="Calibri" w:hAnsi="Calibri" w:cs="Calibri"/>
          <w:b/>
          <w:bCs/>
          <w:color w:val="000000" w:themeColor="text1"/>
          <w:sz w:val="18"/>
          <w:szCs w:val="18"/>
          <w:lang w:val="en-GB"/>
        </w:rPr>
      </w:pPr>
      <w:r w:rsidRPr="00F410B6">
        <w:rPr>
          <w:rFonts w:ascii="Calibri" w:hAnsi="Calibri" w:cs="Calibri"/>
          <w:b/>
          <w:bCs/>
          <w:color w:val="000000" w:themeColor="text1"/>
          <w:sz w:val="18"/>
          <w:szCs w:val="18"/>
          <w:lang w:val="en-GB"/>
        </w:rPr>
        <w:t>For enquiries, please contact</w:t>
      </w:r>
    </w:p>
    <w:p w14:paraId="4566DD55" w14:textId="77777777" w:rsidR="001B3BCF" w:rsidRPr="00F410B6" w:rsidRDefault="001B3BCF" w:rsidP="001B3BCF">
      <w:pPr>
        <w:spacing w:line="276" w:lineRule="auto"/>
        <w:jc w:val="both"/>
        <w:rPr>
          <w:rFonts w:ascii="Calibri" w:hAnsi="Calibri" w:cs="Calibri"/>
          <w:i/>
          <w:iCs/>
          <w:color w:val="000000" w:themeColor="text1"/>
          <w:sz w:val="18"/>
          <w:szCs w:val="18"/>
          <w:lang w:val="en-GB"/>
        </w:rPr>
      </w:pPr>
    </w:p>
    <w:p w14:paraId="1645EBEF" w14:textId="77777777" w:rsidR="001B3BCF" w:rsidRPr="00F410B6" w:rsidRDefault="001B3BCF" w:rsidP="001B3BCF">
      <w:pPr>
        <w:spacing w:line="276" w:lineRule="auto"/>
        <w:jc w:val="both"/>
        <w:rPr>
          <w:rFonts w:ascii="Calibri" w:hAnsi="Calibri" w:cs="Calibri"/>
          <w:b/>
          <w:bCs/>
          <w:i/>
          <w:iCs/>
          <w:color w:val="000000" w:themeColor="text1"/>
          <w:sz w:val="18"/>
          <w:szCs w:val="18"/>
        </w:rPr>
      </w:pPr>
      <w:r w:rsidRPr="00F410B6">
        <w:rPr>
          <w:rFonts w:ascii="Calibri" w:hAnsi="Calibri" w:cs="Calibri"/>
          <w:b/>
          <w:bCs/>
          <w:i/>
          <w:iCs/>
          <w:color w:val="000000" w:themeColor="text1"/>
          <w:sz w:val="18"/>
          <w:szCs w:val="18"/>
          <w:lang w:val="en-GB"/>
        </w:rPr>
        <w:t>Contact for media</w:t>
      </w:r>
      <w:r w:rsidRPr="00F410B6">
        <w:rPr>
          <w:rFonts w:ascii="Calibri" w:hAnsi="Calibri" w:cs="Calibri"/>
          <w:b/>
          <w:bCs/>
          <w:i/>
          <w:iCs/>
          <w:color w:val="000000" w:themeColor="text1"/>
          <w:sz w:val="18"/>
          <w:szCs w:val="18"/>
        </w:rPr>
        <w:tab/>
      </w:r>
      <w:r w:rsidRPr="00F410B6">
        <w:rPr>
          <w:rFonts w:ascii="Calibri" w:hAnsi="Calibri" w:cs="Calibri"/>
          <w:b/>
          <w:bCs/>
          <w:i/>
          <w:iCs/>
          <w:color w:val="000000" w:themeColor="text1"/>
          <w:sz w:val="18"/>
          <w:szCs w:val="18"/>
        </w:rPr>
        <w:tab/>
      </w:r>
      <w:r w:rsidRPr="00F410B6">
        <w:rPr>
          <w:rFonts w:ascii="Calibri" w:hAnsi="Calibri" w:cs="Calibri"/>
          <w:b/>
          <w:bCs/>
          <w:i/>
          <w:iCs/>
          <w:color w:val="000000" w:themeColor="text1"/>
          <w:sz w:val="18"/>
          <w:szCs w:val="18"/>
        </w:rPr>
        <w:tab/>
      </w:r>
      <w:r w:rsidRPr="00F410B6">
        <w:rPr>
          <w:rFonts w:ascii="Calibri" w:hAnsi="Calibri" w:cs="Calibri"/>
          <w:b/>
          <w:bCs/>
          <w:i/>
          <w:iCs/>
          <w:color w:val="000000" w:themeColor="text1"/>
          <w:sz w:val="18"/>
          <w:szCs w:val="18"/>
        </w:rPr>
        <w:tab/>
      </w:r>
      <w:r w:rsidRPr="00F410B6">
        <w:rPr>
          <w:rFonts w:ascii="Calibri" w:hAnsi="Calibri" w:cs="Calibri"/>
          <w:b/>
          <w:bCs/>
          <w:i/>
          <w:iCs/>
          <w:color w:val="000000" w:themeColor="text1"/>
          <w:sz w:val="18"/>
          <w:szCs w:val="18"/>
        </w:rPr>
        <w:tab/>
      </w:r>
      <w:r w:rsidRPr="00F410B6">
        <w:rPr>
          <w:rFonts w:ascii="Calibri" w:hAnsi="Calibri" w:cs="Calibri"/>
          <w:b/>
          <w:bCs/>
          <w:i/>
          <w:iCs/>
          <w:color w:val="000000" w:themeColor="text1"/>
          <w:sz w:val="18"/>
          <w:szCs w:val="18"/>
        </w:rPr>
        <w:tab/>
      </w:r>
      <w:r w:rsidRPr="00F410B6">
        <w:rPr>
          <w:rFonts w:ascii="Calibri" w:hAnsi="Calibri" w:cs="Calibri"/>
          <w:b/>
          <w:bCs/>
          <w:i/>
          <w:iCs/>
          <w:color w:val="000000" w:themeColor="text1"/>
          <w:sz w:val="18"/>
          <w:szCs w:val="18"/>
        </w:rPr>
        <w:tab/>
      </w:r>
      <w:r w:rsidRPr="00F410B6">
        <w:rPr>
          <w:rFonts w:ascii="Calibri" w:hAnsi="Calibri" w:cs="Calibri"/>
          <w:b/>
          <w:bCs/>
          <w:i/>
          <w:iCs/>
          <w:color w:val="000000" w:themeColor="text1"/>
          <w:sz w:val="18"/>
          <w:szCs w:val="18"/>
          <w:lang w:val="en-GB"/>
        </w:rPr>
        <w:t xml:space="preserve">Contact for investors </w:t>
      </w:r>
      <w:r w:rsidRPr="00F410B6">
        <w:rPr>
          <w:rFonts w:ascii="Calibri" w:hAnsi="Calibri" w:cs="Calibri"/>
          <w:b/>
          <w:bCs/>
          <w:i/>
          <w:iCs/>
          <w:color w:val="000000" w:themeColor="text1"/>
          <w:sz w:val="18"/>
          <w:szCs w:val="18"/>
          <w:lang w:val="en-GB"/>
        </w:rPr>
        <w:tab/>
      </w:r>
    </w:p>
    <w:p w14:paraId="1378F270" w14:textId="77777777" w:rsidR="001B3BCF" w:rsidRPr="00F410B6" w:rsidRDefault="001B3BCF" w:rsidP="001B3BCF">
      <w:pPr>
        <w:spacing w:line="276" w:lineRule="auto"/>
        <w:jc w:val="both"/>
        <w:rPr>
          <w:rFonts w:ascii="Calibri" w:hAnsi="Calibri" w:cs="Calibri"/>
          <w:i/>
          <w:iCs/>
          <w:color w:val="000000" w:themeColor="text1"/>
          <w:sz w:val="18"/>
          <w:szCs w:val="18"/>
        </w:rPr>
      </w:pPr>
      <w:r w:rsidRPr="00F410B6">
        <w:rPr>
          <w:rFonts w:ascii="Calibri" w:hAnsi="Calibri" w:cs="Calibri"/>
          <w:i/>
          <w:iCs/>
          <w:color w:val="000000" w:themeColor="text1"/>
          <w:sz w:val="18"/>
          <w:szCs w:val="18"/>
        </w:rPr>
        <w:t>Eva Svobodová</w:t>
      </w:r>
      <w:r w:rsidRPr="00F410B6">
        <w:rPr>
          <w:rFonts w:ascii="Calibri" w:hAnsi="Calibri" w:cs="Calibri"/>
          <w:i/>
          <w:iCs/>
          <w:color w:val="000000" w:themeColor="text1"/>
          <w:sz w:val="18"/>
          <w:szCs w:val="18"/>
        </w:rPr>
        <w:tab/>
      </w:r>
      <w:r w:rsidRPr="00F410B6">
        <w:rPr>
          <w:rFonts w:ascii="Calibri" w:hAnsi="Calibri" w:cs="Calibri"/>
          <w:i/>
          <w:iCs/>
          <w:color w:val="000000" w:themeColor="text1"/>
          <w:sz w:val="18"/>
          <w:szCs w:val="18"/>
        </w:rPr>
        <w:tab/>
      </w:r>
      <w:r w:rsidRPr="00F410B6">
        <w:rPr>
          <w:rFonts w:ascii="Calibri" w:hAnsi="Calibri" w:cs="Calibri"/>
          <w:i/>
          <w:iCs/>
          <w:color w:val="000000" w:themeColor="text1"/>
          <w:sz w:val="18"/>
          <w:szCs w:val="18"/>
        </w:rPr>
        <w:tab/>
      </w:r>
      <w:r w:rsidRPr="00F410B6">
        <w:rPr>
          <w:rFonts w:ascii="Calibri" w:hAnsi="Calibri" w:cs="Calibri"/>
          <w:i/>
          <w:iCs/>
          <w:color w:val="000000" w:themeColor="text1"/>
          <w:sz w:val="18"/>
          <w:szCs w:val="18"/>
        </w:rPr>
        <w:tab/>
      </w:r>
      <w:r w:rsidRPr="00F410B6">
        <w:rPr>
          <w:rFonts w:ascii="Calibri" w:hAnsi="Calibri" w:cs="Calibri"/>
          <w:i/>
          <w:iCs/>
          <w:color w:val="000000" w:themeColor="text1"/>
          <w:sz w:val="18"/>
          <w:szCs w:val="18"/>
        </w:rPr>
        <w:tab/>
      </w:r>
      <w:r w:rsidRPr="00F410B6">
        <w:rPr>
          <w:rFonts w:ascii="Calibri" w:hAnsi="Calibri" w:cs="Calibri"/>
          <w:i/>
          <w:iCs/>
          <w:color w:val="000000" w:themeColor="text1"/>
          <w:sz w:val="18"/>
          <w:szCs w:val="18"/>
        </w:rPr>
        <w:tab/>
      </w:r>
      <w:r w:rsidRPr="00F410B6">
        <w:rPr>
          <w:rFonts w:ascii="Calibri" w:hAnsi="Calibri" w:cs="Calibri"/>
          <w:i/>
          <w:iCs/>
          <w:color w:val="000000" w:themeColor="text1"/>
          <w:sz w:val="18"/>
          <w:szCs w:val="18"/>
        </w:rPr>
        <w:tab/>
        <w:t>Klára Šípová</w:t>
      </w:r>
    </w:p>
    <w:p w14:paraId="21F97886" w14:textId="77777777" w:rsidR="001B3BCF" w:rsidRPr="00F410B6" w:rsidRDefault="001B3BCF" w:rsidP="001B3BCF">
      <w:pPr>
        <w:spacing w:line="276" w:lineRule="auto"/>
        <w:jc w:val="both"/>
        <w:rPr>
          <w:rFonts w:ascii="Calibri" w:hAnsi="Calibri" w:cs="Calibri"/>
          <w:i/>
          <w:iCs/>
          <w:color w:val="000000" w:themeColor="text1"/>
          <w:sz w:val="18"/>
          <w:szCs w:val="18"/>
        </w:rPr>
      </w:pPr>
      <w:r w:rsidRPr="00F410B6">
        <w:rPr>
          <w:rFonts w:ascii="Calibri" w:hAnsi="Calibri" w:cs="Calibri"/>
          <w:i/>
          <w:iCs/>
          <w:color w:val="000000" w:themeColor="text1"/>
          <w:sz w:val="18"/>
          <w:szCs w:val="18"/>
          <w:lang w:val="en-GB"/>
        </w:rPr>
        <w:t>External Relations Director</w:t>
      </w:r>
      <w:r w:rsidRPr="00F410B6">
        <w:rPr>
          <w:rFonts w:ascii="Calibri" w:hAnsi="Calibri" w:cs="Calibri"/>
          <w:i/>
          <w:iCs/>
          <w:color w:val="000000" w:themeColor="text1"/>
          <w:sz w:val="18"/>
          <w:szCs w:val="18"/>
        </w:rPr>
        <w:tab/>
      </w:r>
      <w:r w:rsidRPr="00F410B6">
        <w:rPr>
          <w:rFonts w:ascii="Calibri" w:hAnsi="Calibri" w:cs="Calibri"/>
          <w:i/>
          <w:iCs/>
          <w:color w:val="000000" w:themeColor="text1"/>
          <w:sz w:val="18"/>
          <w:szCs w:val="18"/>
        </w:rPr>
        <w:tab/>
      </w:r>
      <w:r w:rsidRPr="00F410B6">
        <w:rPr>
          <w:rFonts w:ascii="Calibri" w:hAnsi="Calibri" w:cs="Calibri"/>
          <w:i/>
          <w:iCs/>
          <w:color w:val="000000" w:themeColor="text1"/>
          <w:sz w:val="18"/>
          <w:szCs w:val="18"/>
        </w:rPr>
        <w:tab/>
      </w:r>
      <w:r w:rsidRPr="00F410B6">
        <w:rPr>
          <w:rFonts w:ascii="Calibri" w:hAnsi="Calibri" w:cs="Calibri"/>
          <w:i/>
          <w:iCs/>
          <w:color w:val="000000" w:themeColor="text1"/>
          <w:sz w:val="18"/>
          <w:szCs w:val="18"/>
        </w:rPr>
        <w:tab/>
      </w:r>
      <w:r w:rsidRPr="00F410B6">
        <w:rPr>
          <w:rFonts w:ascii="Calibri" w:hAnsi="Calibri" w:cs="Calibri"/>
          <w:i/>
          <w:iCs/>
          <w:color w:val="000000" w:themeColor="text1"/>
          <w:sz w:val="18"/>
          <w:szCs w:val="18"/>
        </w:rPr>
        <w:tab/>
      </w:r>
      <w:r w:rsidRPr="00F410B6">
        <w:rPr>
          <w:rFonts w:ascii="Calibri" w:hAnsi="Calibri" w:cs="Calibri"/>
          <w:i/>
          <w:iCs/>
          <w:color w:val="000000" w:themeColor="text1"/>
          <w:sz w:val="18"/>
          <w:szCs w:val="18"/>
        </w:rPr>
        <w:tab/>
        <w:t>Investor Relations</w:t>
      </w:r>
    </w:p>
    <w:p w14:paraId="7A916B3E" w14:textId="77777777" w:rsidR="001B3BCF" w:rsidRPr="00F410B6" w:rsidRDefault="001B3BCF" w:rsidP="001B3BCF">
      <w:pPr>
        <w:spacing w:line="276" w:lineRule="auto"/>
        <w:jc w:val="both"/>
        <w:rPr>
          <w:rFonts w:ascii="Calibri" w:hAnsi="Calibri" w:cs="Calibri"/>
          <w:i/>
          <w:iCs/>
          <w:color w:val="000000" w:themeColor="text1"/>
          <w:sz w:val="18"/>
          <w:szCs w:val="18"/>
        </w:rPr>
      </w:pPr>
      <w:r w:rsidRPr="00F410B6">
        <w:rPr>
          <w:rFonts w:ascii="Calibri" w:hAnsi="Calibri" w:cs="Calibri"/>
          <w:i/>
          <w:iCs/>
          <w:color w:val="000000" w:themeColor="text1"/>
          <w:sz w:val="18"/>
          <w:szCs w:val="18"/>
        </w:rPr>
        <w:t>CZG – Česká zbrojovka Group SE</w:t>
      </w:r>
      <w:r w:rsidRPr="00F410B6">
        <w:rPr>
          <w:rFonts w:ascii="Calibri" w:hAnsi="Calibri" w:cs="Calibri"/>
          <w:i/>
          <w:iCs/>
          <w:color w:val="000000" w:themeColor="text1"/>
          <w:sz w:val="18"/>
          <w:szCs w:val="18"/>
        </w:rPr>
        <w:tab/>
      </w:r>
      <w:r w:rsidRPr="00F410B6">
        <w:rPr>
          <w:rFonts w:ascii="Calibri" w:hAnsi="Calibri" w:cs="Calibri"/>
          <w:i/>
          <w:iCs/>
          <w:color w:val="000000" w:themeColor="text1"/>
          <w:sz w:val="18"/>
          <w:szCs w:val="18"/>
        </w:rPr>
        <w:tab/>
      </w:r>
      <w:r w:rsidRPr="00F410B6">
        <w:rPr>
          <w:rFonts w:ascii="Calibri" w:hAnsi="Calibri" w:cs="Calibri"/>
          <w:i/>
          <w:iCs/>
          <w:color w:val="000000" w:themeColor="text1"/>
          <w:sz w:val="18"/>
          <w:szCs w:val="18"/>
        </w:rPr>
        <w:tab/>
      </w:r>
      <w:r w:rsidRPr="00F410B6">
        <w:rPr>
          <w:rFonts w:ascii="Calibri" w:hAnsi="Calibri" w:cs="Calibri"/>
          <w:i/>
          <w:iCs/>
          <w:color w:val="000000" w:themeColor="text1"/>
          <w:sz w:val="18"/>
          <w:szCs w:val="18"/>
        </w:rPr>
        <w:tab/>
      </w:r>
      <w:r w:rsidRPr="00F410B6">
        <w:rPr>
          <w:rFonts w:ascii="Calibri" w:hAnsi="Calibri" w:cs="Calibri"/>
          <w:i/>
          <w:iCs/>
          <w:color w:val="000000" w:themeColor="text1"/>
          <w:sz w:val="18"/>
          <w:szCs w:val="18"/>
        </w:rPr>
        <w:tab/>
        <w:t>CZG – Česká zbrojovka Group SE</w:t>
      </w:r>
    </w:p>
    <w:p w14:paraId="37CC1D10" w14:textId="77777777" w:rsidR="001B3BCF" w:rsidRPr="00F410B6" w:rsidRDefault="001B3BCF" w:rsidP="001B3BCF">
      <w:pPr>
        <w:spacing w:line="276" w:lineRule="auto"/>
        <w:jc w:val="both"/>
        <w:rPr>
          <w:rFonts w:ascii="Calibri" w:hAnsi="Calibri" w:cs="Calibri"/>
          <w:i/>
          <w:iCs/>
          <w:color w:val="000000" w:themeColor="text1"/>
          <w:sz w:val="18"/>
          <w:szCs w:val="18"/>
        </w:rPr>
      </w:pPr>
      <w:r w:rsidRPr="00F410B6">
        <w:rPr>
          <w:rFonts w:ascii="Calibri" w:hAnsi="Calibri" w:cs="Calibri"/>
          <w:i/>
          <w:iCs/>
          <w:color w:val="000000" w:themeColor="text1"/>
          <w:sz w:val="18"/>
          <w:szCs w:val="18"/>
        </w:rPr>
        <w:t>Tel.: +420 735 793 656</w:t>
      </w:r>
      <w:r w:rsidRPr="00F410B6">
        <w:rPr>
          <w:rFonts w:ascii="Calibri" w:hAnsi="Calibri" w:cs="Calibri"/>
          <w:i/>
          <w:iCs/>
          <w:color w:val="000000" w:themeColor="text1"/>
          <w:sz w:val="18"/>
          <w:szCs w:val="18"/>
        </w:rPr>
        <w:tab/>
      </w:r>
      <w:r w:rsidRPr="00F410B6">
        <w:rPr>
          <w:rFonts w:ascii="Calibri" w:hAnsi="Calibri" w:cs="Calibri"/>
          <w:i/>
          <w:iCs/>
          <w:color w:val="000000" w:themeColor="text1"/>
          <w:sz w:val="18"/>
          <w:szCs w:val="18"/>
        </w:rPr>
        <w:tab/>
      </w:r>
      <w:r w:rsidRPr="00F410B6">
        <w:rPr>
          <w:rFonts w:ascii="Calibri" w:hAnsi="Calibri" w:cs="Calibri"/>
          <w:i/>
          <w:iCs/>
          <w:color w:val="000000" w:themeColor="text1"/>
          <w:sz w:val="18"/>
          <w:szCs w:val="18"/>
        </w:rPr>
        <w:tab/>
      </w:r>
      <w:r w:rsidRPr="00F410B6">
        <w:rPr>
          <w:rFonts w:ascii="Calibri" w:hAnsi="Calibri" w:cs="Calibri"/>
          <w:i/>
          <w:iCs/>
          <w:color w:val="000000" w:themeColor="text1"/>
          <w:sz w:val="18"/>
          <w:szCs w:val="18"/>
        </w:rPr>
        <w:tab/>
      </w:r>
      <w:r w:rsidRPr="00F410B6">
        <w:rPr>
          <w:rFonts w:ascii="Calibri" w:hAnsi="Calibri" w:cs="Calibri"/>
          <w:i/>
          <w:iCs/>
          <w:color w:val="000000" w:themeColor="text1"/>
          <w:sz w:val="18"/>
          <w:szCs w:val="18"/>
        </w:rPr>
        <w:tab/>
      </w:r>
      <w:r w:rsidRPr="00F410B6">
        <w:rPr>
          <w:rFonts w:ascii="Calibri" w:hAnsi="Calibri" w:cs="Calibri"/>
          <w:i/>
          <w:iCs/>
          <w:color w:val="000000" w:themeColor="text1"/>
          <w:sz w:val="18"/>
          <w:szCs w:val="18"/>
        </w:rPr>
        <w:tab/>
        <w:t>Tel.: + 420 724 255 715</w:t>
      </w:r>
      <w:r w:rsidRPr="00F410B6">
        <w:rPr>
          <w:rFonts w:ascii="Calibri" w:hAnsi="Calibri" w:cs="Calibri"/>
          <w:i/>
          <w:iCs/>
          <w:color w:val="000000" w:themeColor="text1"/>
          <w:sz w:val="18"/>
          <w:szCs w:val="18"/>
        </w:rPr>
        <w:tab/>
      </w:r>
    </w:p>
    <w:p w14:paraId="1A39D771" w14:textId="2C83CC40" w:rsidR="00CB4095" w:rsidRPr="00D73C00" w:rsidRDefault="001B3BCF" w:rsidP="001B3BCF">
      <w:pPr>
        <w:spacing w:line="276" w:lineRule="auto"/>
        <w:jc w:val="both"/>
        <w:rPr>
          <w:rFonts w:ascii="Calibri" w:hAnsi="Calibri" w:cs="Calibri"/>
          <w:color w:val="000000" w:themeColor="text1"/>
          <w:sz w:val="18"/>
          <w:szCs w:val="18"/>
        </w:rPr>
      </w:pPr>
      <w:r w:rsidRPr="00F410B6">
        <w:rPr>
          <w:rFonts w:ascii="Calibri" w:hAnsi="Calibri" w:cs="Calibri"/>
          <w:i/>
          <w:iCs/>
          <w:color w:val="000000" w:themeColor="text1"/>
          <w:sz w:val="18"/>
          <w:szCs w:val="18"/>
        </w:rPr>
        <w:t xml:space="preserve">email: </w:t>
      </w:r>
      <w:hyperlink r:id="rId11" w:history="1">
        <w:r w:rsidRPr="00F410B6">
          <w:rPr>
            <w:rStyle w:val="Hypertextovodkaz"/>
            <w:rFonts w:ascii="Calibri" w:hAnsi="Calibri" w:cs="Calibri"/>
            <w:i/>
            <w:iCs/>
            <w:sz w:val="18"/>
            <w:szCs w:val="18"/>
          </w:rPr>
          <w:t>media@czg.cz</w:t>
        </w:r>
      </w:hyperlink>
      <w:r w:rsidRPr="00F410B6">
        <w:rPr>
          <w:rFonts w:ascii="Calibri" w:hAnsi="Calibri" w:cs="Calibri"/>
          <w:i/>
          <w:iCs/>
          <w:color w:val="000000" w:themeColor="text1"/>
          <w:sz w:val="18"/>
          <w:szCs w:val="18"/>
        </w:rPr>
        <w:tab/>
      </w:r>
      <w:r w:rsidRPr="00F410B6">
        <w:rPr>
          <w:rFonts w:ascii="Calibri" w:hAnsi="Calibri" w:cs="Calibri"/>
          <w:i/>
          <w:iCs/>
          <w:color w:val="000000" w:themeColor="text1"/>
          <w:sz w:val="18"/>
          <w:szCs w:val="18"/>
        </w:rPr>
        <w:tab/>
      </w:r>
      <w:r w:rsidRPr="00F410B6">
        <w:rPr>
          <w:rFonts w:ascii="Calibri" w:hAnsi="Calibri" w:cs="Calibri"/>
          <w:i/>
          <w:iCs/>
          <w:color w:val="000000" w:themeColor="text1"/>
          <w:sz w:val="18"/>
          <w:szCs w:val="18"/>
        </w:rPr>
        <w:tab/>
      </w:r>
      <w:r w:rsidRPr="00F410B6">
        <w:rPr>
          <w:rFonts w:ascii="Calibri" w:hAnsi="Calibri" w:cs="Calibri"/>
          <w:i/>
          <w:iCs/>
          <w:color w:val="000000" w:themeColor="text1"/>
          <w:sz w:val="18"/>
          <w:szCs w:val="18"/>
        </w:rPr>
        <w:tab/>
      </w:r>
      <w:r w:rsidRPr="00F410B6">
        <w:rPr>
          <w:rFonts w:ascii="Calibri" w:hAnsi="Calibri" w:cs="Calibri"/>
          <w:i/>
          <w:iCs/>
          <w:color w:val="000000" w:themeColor="text1"/>
          <w:sz w:val="18"/>
          <w:szCs w:val="18"/>
        </w:rPr>
        <w:tab/>
      </w:r>
      <w:r w:rsidRPr="00F410B6">
        <w:rPr>
          <w:rFonts w:ascii="Calibri" w:hAnsi="Calibri" w:cs="Calibri"/>
          <w:i/>
          <w:iCs/>
          <w:color w:val="000000" w:themeColor="text1"/>
          <w:sz w:val="18"/>
          <w:szCs w:val="18"/>
        </w:rPr>
        <w:tab/>
        <w:t xml:space="preserve">email: </w:t>
      </w:r>
      <w:hyperlink r:id="rId12" w:history="1">
        <w:r w:rsidRPr="00195B12">
          <w:rPr>
            <w:rStyle w:val="Hypertextovodkaz"/>
            <w:rFonts w:ascii="Calibri" w:hAnsi="Calibri" w:cs="Calibri"/>
            <w:i/>
            <w:iCs/>
            <w:sz w:val="18"/>
            <w:szCs w:val="18"/>
          </w:rPr>
          <w:t>sipova.klara@czg.cz</w:t>
        </w:r>
      </w:hyperlink>
      <w:r w:rsidRPr="00F410B6">
        <w:rPr>
          <w:rFonts w:ascii="Calibri" w:hAnsi="Calibri" w:cs="Calibri"/>
          <w:i/>
          <w:iCs/>
          <w:color w:val="000000" w:themeColor="text1"/>
          <w:sz w:val="18"/>
          <w:szCs w:val="18"/>
        </w:rPr>
        <w:tab/>
      </w:r>
      <w:r w:rsidRPr="00723B74">
        <w:rPr>
          <w:rFonts w:ascii="Calibri" w:hAnsi="Calibri" w:cs="Calibri"/>
          <w:i/>
          <w:iCs/>
          <w:color w:val="000000" w:themeColor="text1"/>
          <w:sz w:val="16"/>
          <w:szCs w:val="16"/>
          <w:lang w:val="fr-FR"/>
        </w:rPr>
        <w:tab/>
      </w:r>
      <w:r w:rsidR="009F2B91" w:rsidRPr="00D73C00">
        <w:rPr>
          <w:rFonts w:ascii="Calibri" w:hAnsi="Calibri" w:cs="Calibri"/>
          <w:i/>
          <w:iCs/>
          <w:color w:val="000000" w:themeColor="text1"/>
          <w:sz w:val="18"/>
          <w:szCs w:val="18"/>
        </w:rPr>
        <w:tab/>
      </w:r>
      <w:r w:rsidR="009F2B91" w:rsidRPr="00D73C00">
        <w:rPr>
          <w:rFonts w:ascii="Calibri" w:hAnsi="Calibri" w:cs="Calibri"/>
          <w:i/>
          <w:iCs/>
          <w:color w:val="000000" w:themeColor="text1"/>
          <w:sz w:val="18"/>
          <w:szCs w:val="18"/>
        </w:rPr>
        <w:tab/>
      </w:r>
      <w:r w:rsidR="009F2B91" w:rsidRPr="00D73C00">
        <w:rPr>
          <w:rFonts w:ascii="Calibri" w:hAnsi="Calibri" w:cs="Calibri"/>
          <w:i/>
          <w:iCs/>
          <w:color w:val="000000" w:themeColor="text1"/>
          <w:sz w:val="18"/>
          <w:szCs w:val="18"/>
        </w:rPr>
        <w:tab/>
      </w:r>
      <w:r w:rsidR="009F2B91" w:rsidRPr="00D73C00">
        <w:rPr>
          <w:rFonts w:ascii="Calibri" w:hAnsi="Calibri" w:cs="Calibri"/>
          <w:i/>
          <w:iCs/>
          <w:color w:val="000000" w:themeColor="text1"/>
          <w:sz w:val="18"/>
          <w:szCs w:val="18"/>
        </w:rPr>
        <w:tab/>
      </w:r>
    </w:p>
    <w:sectPr w:rsidR="00CB4095" w:rsidRPr="00D73C00" w:rsidSect="008547EC">
      <w:headerReference w:type="default" r:id="rId13"/>
      <w:footerReference w:type="default" r:id="rId14"/>
      <w:pgSz w:w="11900" w:h="16840"/>
      <w:pgMar w:top="2269"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EE2AB" w14:textId="77777777" w:rsidR="00D5755B" w:rsidRDefault="00D5755B">
      <w:r>
        <w:separator/>
      </w:r>
    </w:p>
  </w:endnote>
  <w:endnote w:type="continuationSeparator" w:id="0">
    <w:p w14:paraId="3B436909" w14:textId="77777777" w:rsidR="00D5755B" w:rsidRDefault="00D5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Light">
    <w:panose1 w:val="020B0604020202020204"/>
    <w:charset w:val="00"/>
    <w:family w:val="auto"/>
    <w:notTrueType/>
    <w:pitch w:val="variable"/>
    <w:sig w:usb0="2000020F" w:usb1="00000003" w:usb2="00000000" w:usb3="00000000" w:csb0="0000019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ontserrat">
    <w:altName w:val="Calibri"/>
    <w:panose1 w:val="00000400000000000000"/>
    <w:charset w:val="00"/>
    <w:family w:val="modern"/>
    <w:notTrueType/>
    <w:pitch w:val="variable"/>
    <w:sig w:usb0="2000020F" w:usb1="00000003" w:usb2="00000000" w:usb3="00000000" w:csb0="00000197"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20DC" w14:textId="7E02335F" w:rsidR="00B541FE" w:rsidRDefault="00BD5FC2">
    <w:pPr>
      <w:pStyle w:val="Zpat"/>
      <w:tabs>
        <w:tab w:val="clear" w:pos="9072"/>
        <w:tab w:val="right" w:pos="9046"/>
      </w:tabs>
      <w:jc w:val="center"/>
    </w:pPr>
    <w:r w:rsidRPr="00721E36">
      <w:rPr>
        <w:rFonts w:ascii="Montserrat" w:hAnsi="Montserrat"/>
        <w:noProof/>
      </w:rPr>
      <mc:AlternateContent>
        <mc:Choice Requires="wps">
          <w:drawing>
            <wp:anchor distT="0" distB="0" distL="114300" distR="114300" simplePos="0" relativeHeight="251665408" behindDoc="0" locked="0" layoutInCell="1" allowOverlap="1" wp14:anchorId="3579B511" wp14:editId="42C458EB">
              <wp:simplePos x="0" y="0"/>
              <wp:positionH relativeFrom="column">
                <wp:posOffset>-622300</wp:posOffset>
              </wp:positionH>
              <wp:positionV relativeFrom="paragraph">
                <wp:posOffset>100965</wp:posOffset>
              </wp:positionV>
              <wp:extent cx="5561901" cy="478173"/>
              <wp:effectExtent l="0" t="0" r="0" b="0"/>
              <wp:wrapNone/>
              <wp:docPr id="12" name="Textové pole 12"/>
              <wp:cNvGraphicFramePr/>
              <a:graphic xmlns:a="http://schemas.openxmlformats.org/drawingml/2006/main">
                <a:graphicData uri="http://schemas.microsoft.com/office/word/2010/wordprocessingShape">
                  <wps:wsp>
                    <wps:cNvSpPr txBox="1"/>
                    <wps:spPr>
                      <a:xfrm>
                        <a:off x="0" y="0"/>
                        <a:ext cx="5561901" cy="478173"/>
                      </a:xfrm>
                      <a:prstGeom prst="rect">
                        <a:avLst/>
                      </a:prstGeom>
                      <a:noFill/>
                      <a:ln w="6350">
                        <a:noFill/>
                      </a:ln>
                    </wps:spPr>
                    <wps:txbx>
                      <w:txbxContent>
                        <w:p w14:paraId="51C1532B" w14:textId="77777777" w:rsidR="00BD5FC2" w:rsidRPr="00A61159" w:rsidRDefault="00BD5FC2" w:rsidP="00BD5FC2">
                          <w:pPr>
                            <w:rPr>
                              <w:rFonts w:ascii="Calibri" w:hAnsi="Calibri"/>
                              <w:sz w:val="20"/>
                              <w:szCs w:val="16"/>
                              <w14:glow w14:rad="0">
                                <w14:schemeClr w14:val="accent1"/>
                              </w14:glow>
                              <w14:reflection w14:blurRad="0" w14:stA="16000" w14:stPos="0" w14:endA="0" w14:endPos="0" w14:dist="0" w14:dir="0" w14:fadeDir="0" w14:sx="0" w14:sy="0" w14:kx="0" w14:ky="0" w14:algn="b"/>
                            </w:rPr>
                          </w:pPr>
                          <w:r w:rsidRPr="00A61159">
                            <w:rPr>
                              <w:rFonts w:ascii="Calibri" w:hAnsi="Calibri" w:cs="AppleSystemUIFont"/>
                              <w:b/>
                              <w:bCs/>
                              <w:sz w:val="20"/>
                              <w:szCs w:val="16"/>
                            </w:rPr>
                            <w:t xml:space="preserve">CZG - Česká zbrojovka Group SE, </w:t>
                          </w:r>
                          <w:r w:rsidRPr="00A61159">
                            <w:rPr>
                              <w:rFonts w:ascii="Calibri" w:hAnsi="Calibri" w:cs="AppleSystemUIFont"/>
                              <w:sz w:val="20"/>
                              <w:szCs w:val="16"/>
                            </w:rPr>
                            <w:t>Opletalova 1284/37, 110 00 Prague 1, Czech Republic, IČ: 291 51 961</w:t>
                          </w:r>
                        </w:p>
                        <w:p w14:paraId="00A07EE7" w14:textId="77777777" w:rsidR="00BD5FC2" w:rsidRPr="00A61159" w:rsidRDefault="00BD5FC2" w:rsidP="00BD5FC2">
                          <w:pPr>
                            <w:rPr>
                              <w:rFonts w:ascii="Calibri" w:hAnsi="Calibri"/>
                              <w:b/>
                              <w:bCs/>
                              <w:sz w:val="20"/>
                              <w:szCs w:val="16"/>
                              <w14:glow w14:rad="0">
                                <w14:schemeClr w14:val="accent1"/>
                              </w14:glow>
                              <w14:reflection w14:blurRad="0" w14:stA="16000" w14:stPos="0" w14:endA="0" w14:endPos="0" w14:dist="0" w14:dir="0" w14:fadeDir="0" w14:sx="0" w14:sy="0" w14:kx="0" w14:ky="0" w14:algn="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9B511" id="_x0000_t202" coordsize="21600,21600" o:spt="202" path="m,l,21600r21600,l21600,xe">
              <v:stroke joinstyle="miter"/>
              <v:path gradientshapeok="t" o:connecttype="rect"/>
            </v:shapetype>
            <v:shape id="Textové pole 12" o:spid="_x0000_s1026" type="#_x0000_t202" style="position:absolute;left:0;text-align:left;margin-left:-49pt;margin-top:7.95pt;width:437.95pt;height:3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" filled="f" stroked="f" strokeweight=".5pt">
              <v:textbox>
                <w:txbxContent>
                  <w:p w14:paraId="51C1532B" w14:textId="77777777" w:rsidR="00BD5FC2" w:rsidRPr="00A61159" w:rsidRDefault="00BD5FC2" w:rsidP="00BD5FC2">
                    <w:pPr>
                      <w:rPr>
                        <w:rFonts w:ascii="Calibri" w:hAnsi="Calibri"/>
                        <w:sz w:val="20"/>
                        <w:szCs w:val="16"/>
                        <w14:glow w14:rad="0">
                          <w14:schemeClr w14:val="accent1"/>
                        </w14:glow>
                        <w14:reflection w14:blurRad="0" w14:stA="16000" w14:stPos="0" w14:endA="0" w14:endPos="0" w14:dist="0" w14:dir="0" w14:fadeDir="0" w14:sx="0" w14:sy="0" w14:kx="0" w14:ky="0" w14:algn="b"/>
                      </w:rPr>
                    </w:pPr>
                    <w:r w:rsidRPr="00A61159">
                      <w:rPr>
                        <w:rFonts w:ascii="Calibri" w:hAnsi="Calibri" w:cs="AppleSystemUIFont"/>
                        <w:b/>
                        <w:bCs/>
                        <w:sz w:val="20"/>
                        <w:szCs w:val="16"/>
                      </w:rPr>
                      <w:t xml:space="preserve">CZG - Česká zbrojovka Group SE, </w:t>
                    </w:r>
                    <w:r w:rsidRPr="00A61159">
                      <w:rPr>
                        <w:rFonts w:ascii="Calibri" w:hAnsi="Calibri" w:cs="AppleSystemUIFont"/>
                        <w:sz w:val="20"/>
                        <w:szCs w:val="16"/>
                      </w:rPr>
                      <w:t>Opletalova 1284/37, 110 00 Prague 1, Czech Republic, IČ: 291 51 961</w:t>
                    </w:r>
                  </w:p>
                  <w:p w14:paraId="00A07EE7" w14:textId="77777777" w:rsidR="00BD5FC2" w:rsidRPr="00A61159" w:rsidRDefault="00BD5FC2" w:rsidP="00BD5FC2">
                    <w:pPr>
                      <w:rPr>
                        <w:rFonts w:ascii="Calibri" w:hAnsi="Calibri"/>
                        <w:b/>
                        <w:bCs/>
                        <w:sz w:val="20"/>
                        <w:szCs w:val="16"/>
                        <w14:glow w14:rad="0">
                          <w14:schemeClr w14:val="accent1"/>
                        </w14:glow>
                        <w14:reflection w14:blurRad="0" w14:stA="16000" w14:stPos="0" w14:endA="0" w14:endPos="0" w14:dist="0" w14:dir="0" w14:fadeDir="0" w14:sx="0" w14:sy="0" w14:kx="0" w14:ky="0" w14:algn="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DBE7E" w14:textId="77777777" w:rsidR="00D5755B" w:rsidRDefault="00D5755B">
      <w:r>
        <w:separator/>
      </w:r>
    </w:p>
  </w:footnote>
  <w:footnote w:type="continuationSeparator" w:id="0">
    <w:p w14:paraId="3F92A444" w14:textId="77777777" w:rsidR="00D5755B" w:rsidRDefault="00D5755B">
      <w:r>
        <w:continuationSeparator/>
      </w:r>
    </w:p>
  </w:footnote>
  <w:footnote w:id="1">
    <w:p w14:paraId="573F7A22" w14:textId="77777777" w:rsidR="001B3BCF" w:rsidRPr="00E6517D" w:rsidRDefault="001B3BCF" w:rsidP="001B3BCF">
      <w:pPr>
        <w:pStyle w:val="Textpoznpodarou"/>
        <w:rPr>
          <w:lang w:val="cs-CZ"/>
        </w:rPr>
      </w:pPr>
      <w:r w:rsidRPr="00E6517D">
        <w:rPr>
          <w:rStyle w:val="Znakapoznpodarou"/>
          <w:rFonts w:ascii="Calibri" w:hAnsi="Calibri" w:cs="Calibri"/>
          <w:sz w:val="14"/>
          <w:szCs w:val="14"/>
          <w:lang w:val="cs-CZ"/>
        </w:rPr>
        <w:footnoteRef/>
      </w:r>
      <w:r w:rsidRPr="00C312DC">
        <w:rPr>
          <w:rFonts w:ascii="Calibri" w:hAnsi="Calibri" w:cs="Calibri"/>
          <w:sz w:val="14"/>
          <w:szCs w:val="14"/>
        </w:rPr>
        <w:t xml:space="preserve"> </w:t>
      </w:r>
      <w:r w:rsidRPr="004F712B">
        <w:rPr>
          <w:rFonts w:ascii="Calibri" w:hAnsi="Calibri" w:cs="Calibri"/>
          <w:sz w:val="14"/>
          <w:szCs w:val="14"/>
        </w:rPr>
        <w:t>EBITDA from continued operations is defined as post-tax profit for the period plus income tax less other financial income plus other financial expenses less interest income plus interest expenses plus depreciation and plus expense from derivatives transactions less income from derivatives transactions</w:t>
      </w:r>
      <w:r>
        <w:rPr>
          <w:rFonts w:ascii="Calibri" w:hAnsi="Calibri" w:cs="Calibri"/>
          <w:sz w:val="14"/>
          <w:szCs w:val="14"/>
        </w:rPr>
        <w:t>.</w:t>
      </w:r>
    </w:p>
  </w:footnote>
  <w:footnote w:id="2">
    <w:p w14:paraId="393D3DBF" w14:textId="77777777" w:rsidR="001B3BCF" w:rsidRPr="00C312DC" w:rsidRDefault="001B3BCF" w:rsidP="001B3BCF">
      <w:pPr>
        <w:pStyle w:val="Textpoznpodarou"/>
        <w:rPr>
          <w:rFonts w:ascii="Calibri" w:hAnsi="Calibri" w:cs="Calibri"/>
          <w:lang w:val="cs-CZ"/>
        </w:rPr>
      </w:pPr>
      <w:r w:rsidRPr="00C312DC">
        <w:rPr>
          <w:rStyle w:val="Znakapoznpodarou"/>
          <w:rFonts w:ascii="Calibri" w:hAnsi="Calibri" w:cs="Calibri"/>
          <w:sz w:val="14"/>
          <w:szCs w:val="14"/>
        </w:rPr>
        <w:footnoteRef/>
      </w:r>
      <w:r w:rsidRPr="00C312DC">
        <w:rPr>
          <w:rFonts w:ascii="Calibri" w:hAnsi="Calibri" w:cs="Calibri"/>
          <w:sz w:val="14"/>
          <w:szCs w:val="14"/>
        </w:rPr>
        <w:t xml:space="preserve"> The Group's management considers EBITDA from continued operations to be a key performance indicator in evaluating the Group's business. </w:t>
      </w:r>
      <w:r w:rsidRPr="004F712B">
        <w:rPr>
          <w:rFonts w:ascii="Calibri" w:hAnsi="Calibri" w:cs="Calibri"/>
          <w:sz w:val="14"/>
          <w:szCs w:val="14"/>
        </w:rPr>
        <w:t>EBITDA from continued operations is defined as post-tax profit for the period plus income tax less other financial income plus other financial expenses less interest income plus interest expenses plus depreciation and plus expense from derivatives transactions less income from derivatives transactions</w:t>
      </w:r>
      <w:r>
        <w:rPr>
          <w:rFonts w:ascii="Calibri" w:hAnsi="Calibri" w:cs="Calibri"/>
          <w:sz w:val="14"/>
          <w:szCs w:val="14"/>
        </w:rPr>
        <w:t>.</w:t>
      </w:r>
    </w:p>
  </w:footnote>
  <w:footnote w:id="3">
    <w:p w14:paraId="7D76A897" w14:textId="77777777" w:rsidR="001B3BCF" w:rsidRPr="002970F7" w:rsidRDefault="001B3BCF" w:rsidP="001B3BCF">
      <w:pPr>
        <w:pStyle w:val="Textpoznpodarou"/>
        <w:rPr>
          <w:rFonts w:ascii="Calibri" w:hAnsi="Calibri" w:cs="Calibri"/>
          <w:sz w:val="14"/>
          <w:szCs w:val="14"/>
          <w:lang w:val="en-GB"/>
        </w:rPr>
      </w:pPr>
      <w:r w:rsidRPr="00100E36">
        <w:rPr>
          <w:rStyle w:val="Znakapoznpodarou"/>
          <w:rFonts w:ascii="Calibri" w:hAnsi="Calibri" w:cs="Calibri"/>
          <w:sz w:val="14"/>
          <w:szCs w:val="14"/>
          <w:lang w:val="en-GB"/>
        </w:rPr>
        <w:footnoteRef/>
      </w:r>
      <w:r w:rsidRPr="00100E36">
        <w:rPr>
          <w:rFonts w:ascii="Calibri" w:hAnsi="Calibri" w:cs="Calibri"/>
          <w:sz w:val="14"/>
          <w:szCs w:val="14"/>
          <w:lang w:val="en-GB"/>
        </w:rPr>
        <w:t xml:space="preserve"> USD/ CZK conversion rate </w:t>
      </w:r>
      <w:bookmarkStart w:id="1" w:name="_Hlk72916027"/>
      <w:r w:rsidRPr="00100E36">
        <w:rPr>
          <w:rFonts w:ascii="Calibri" w:hAnsi="Calibri" w:cs="Calibri"/>
          <w:sz w:val="14"/>
          <w:szCs w:val="14"/>
          <w:lang w:val="en-GB"/>
        </w:rPr>
        <w:t xml:space="preserve">of 22.295 Czech National Bank fixing as of 31 March 2021. Colt´s financial figures are unaudited and presented according to </w:t>
      </w:r>
      <w:bookmarkEnd w:id="1"/>
      <w:r w:rsidRPr="00100E36">
        <w:rPr>
          <w:rFonts w:ascii="Calibri" w:hAnsi="Calibri" w:cs="Calibri"/>
          <w:sz w:val="14"/>
          <w:szCs w:val="14"/>
          <w:lang w:val="en-GB"/>
        </w:rPr>
        <w:t xml:space="preserve">US GAAP.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3E18" w14:textId="5E9E3386" w:rsidR="00B541FE" w:rsidRDefault="00BD5FC2">
    <w:pPr>
      <w:pStyle w:val="Zhlav"/>
      <w:tabs>
        <w:tab w:val="clear" w:pos="9072"/>
        <w:tab w:val="right" w:pos="9046"/>
      </w:tabs>
    </w:pPr>
    <w:r>
      <w:rPr>
        <w:noProof/>
      </w:rPr>
      <w:drawing>
        <wp:anchor distT="0" distB="0" distL="114300" distR="114300" simplePos="0" relativeHeight="251663360" behindDoc="1" locked="0" layoutInCell="1" allowOverlap="1" wp14:anchorId="762B85DA" wp14:editId="0BBBC615">
          <wp:simplePos x="0" y="0"/>
          <wp:positionH relativeFrom="page">
            <wp:align>right</wp:align>
          </wp:positionH>
          <wp:positionV relativeFrom="paragraph">
            <wp:posOffset>-440902</wp:posOffset>
          </wp:positionV>
          <wp:extent cx="7555609" cy="10679185"/>
          <wp:effectExtent l="0" t="0" r="7620" b="825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555609" cy="10679185"/>
                  </a:xfrm>
                  <a:prstGeom prst="rect">
                    <a:avLst/>
                  </a:prstGeom>
                </pic:spPr>
              </pic:pic>
            </a:graphicData>
          </a:graphic>
          <wp14:sizeRelH relativeFrom="page">
            <wp14:pctWidth>0</wp14:pctWidth>
          </wp14:sizeRelH>
          <wp14:sizeRelV relativeFrom="page">
            <wp14:pctHeight>0</wp14:pctHeight>
          </wp14:sizeRelV>
        </wp:anchor>
      </w:drawing>
    </w:r>
    <w:r w:rsidR="00B541FE">
      <w:rPr>
        <w:noProof/>
      </w:rPr>
      <w:drawing>
        <wp:anchor distT="152400" distB="152400" distL="152400" distR="152400" simplePos="0" relativeHeight="251661312" behindDoc="1" locked="0" layoutInCell="1" allowOverlap="1" wp14:anchorId="16E13192" wp14:editId="7B92A499">
          <wp:simplePos x="0" y="0"/>
          <wp:positionH relativeFrom="page">
            <wp:posOffset>900429</wp:posOffset>
          </wp:positionH>
          <wp:positionV relativeFrom="page">
            <wp:posOffset>394334</wp:posOffset>
          </wp:positionV>
          <wp:extent cx="1462406" cy="328296"/>
          <wp:effectExtent l="0" t="0" r="0" b="0"/>
          <wp:wrapNone/>
          <wp:docPr id="34" name="officeArt object" descr="CZ GROUP_Kreslicí plátno 1"/>
          <wp:cNvGraphicFramePr/>
          <a:graphic xmlns:a="http://schemas.openxmlformats.org/drawingml/2006/main">
            <a:graphicData uri="http://schemas.openxmlformats.org/drawingml/2006/picture">
              <pic:pic xmlns:pic="http://schemas.openxmlformats.org/drawingml/2006/picture">
                <pic:nvPicPr>
                  <pic:cNvPr id="1073741828" name="image1.png" descr="CZ GROUP_Kreslicí plátno 1"/>
                  <pic:cNvPicPr>
                    <a:picLocks noChangeAspect="1"/>
                  </pic:cNvPicPr>
                </pic:nvPicPr>
                <pic:blipFill>
                  <a:blip r:embed="rId2"/>
                  <a:stretch>
                    <a:fillRect/>
                  </a:stretch>
                </pic:blipFill>
                <pic:spPr>
                  <a:xfrm>
                    <a:off x="0" y="0"/>
                    <a:ext cx="1462406" cy="328296"/>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769AF"/>
    <w:multiLevelType w:val="hybridMultilevel"/>
    <w:tmpl w:val="57500502"/>
    <w:lvl w:ilvl="0" w:tplc="89FE50FA">
      <w:start w:val="1"/>
      <w:numFmt w:val="decimal"/>
      <w:lvlText w:val="%1."/>
      <w:lvlJc w:val="left"/>
      <w:pPr>
        <w:ind w:left="97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D7821628">
      <w:start w:val="1"/>
      <w:numFmt w:val="lowerLetter"/>
      <w:lvlText w:val="%2."/>
      <w:lvlJc w:val="left"/>
      <w:pPr>
        <w:ind w:left="169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508C86C0">
      <w:start w:val="1"/>
      <w:numFmt w:val="lowerRoman"/>
      <w:lvlText w:val="%3."/>
      <w:lvlJc w:val="left"/>
      <w:pPr>
        <w:ind w:left="2407"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E012A4D8">
      <w:start w:val="1"/>
      <w:numFmt w:val="decimal"/>
      <w:lvlText w:val="%4."/>
      <w:lvlJc w:val="left"/>
      <w:pPr>
        <w:ind w:left="313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92869A68">
      <w:start w:val="1"/>
      <w:numFmt w:val="lowerLetter"/>
      <w:lvlText w:val="%5."/>
      <w:lvlJc w:val="left"/>
      <w:pPr>
        <w:ind w:left="385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1220A0A0">
      <w:start w:val="1"/>
      <w:numFmt w:val="lowerRoman"/>
      <w:lvlText w:val="%6."/>
      <w:lvlJc w:val="left"/>
      <w:pPr>
        <w:ind w:left="4567"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2281912">
      <w:start w:val="1"/>
      <w:numFmt w:val="decimal"/>
      <w:lvlText w:val="%7."/>
      <w:lvlJc w:val="left"/>
      <w:pPr>
        <w:ind w:left="529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2634115C">
      <w:start w:val="1"/>
      <w:numFmt w:val="lowerLetter"/>
      <w:lvlText w:val="%8."/>
      <w:lvlJc w:val="left"/>
      <w:pPr>
        <w:ind w:left="601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7966E1B8">
      <w:start w:val="1"/>
      <w:numFmt w:val="lowerRoman"/>
      <w:lvlText w:val="%9."/>
      <w:lvlJc w:val="left"/>
      <w:pPr>
        <w:ind w:left="6727"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9D702D"/>
    <w:multiLevelType w:val="hybridMultilevel"/>
    <w:tmpl w:val="68E6BC94"/>
    <w:lvl w:ilvl="0" w:tplc="7CA2F2F0">
      <w:start w:val="2018"/>
      <w:numFmt w:val="bullet"/>
      <w:lvlText w:val="-"/>
      <w:lvlJc w:val="left"/>
      <w:pPr>
        <w:ind w:left="720" w:hanging="360"/>
      </w:pPr>
      <w:rPr>
        <w:rFonts w:ascii="Montserrat Light" w:eastAsia="Montserrat Light" w:hAnsi="Montserrat Light" w:cs="Montserrat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9F4743"/>
    <w:multiLevelType w:val="hybridMultilevel"/>
    <w:tmpl w:val="F710AFF2"/>
    <w:numStyleLink w:val="Importovanstyl3"/>
  </w:abstractNum>
  <w:abstractNum w:abstractNumId="4" w15:restartNumberingAfterBreak="0">
    <w:nsid w:val="14DF7393"/>
    <w:multiLevelType w:val="hybridMultilevel"/>
    <w:tmpl w:val="B5B4270C"/>
    <w:lvl w:ilvl="0" w:tplc="CCF8F14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55E65E4"/>
    <w:multiLevelType w:val="hybridMultilevel"/>
    <w:tmpl w:val="58DA1E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151189"/>
    <w:multiLevelType w:val="multilevel"/>
    <w:tmpl w:val="BAFE3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F201E9"/>
    <w:multiLevelType w:val="hybridMultilevel"/>
    <w:tmpl w:val="F63E5718"/>
    <w:styleLink w:val="Importovanstyl2"/>
    <w:lvl w:ilvl="0" w:tplc="A3AC67A8">
      <w:start w:val="1"/>
      <w:numFmt w:val="bullet"/>
      <w:lvlText w:val="•"/>
      <w:lvlJc w:val="left"/>
      <w:pPr>
        <w:ind w:left="177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E69F4A">
      <w:start w:val="1"/>
      <w:numFmt w:val="bullet"/>
      <w:lvlText w:val="o"/>
      <w:lvlJc w:val="left"/>
      <w:pPr>
        <w:ind w:left="24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C42BE6">
      <w:start w:val="1"/>
      <w:numFmt w:val="bullet"/>
      <w:lvlText w:val="▪"/>
      <w:lvlJc w:val="left"/>
      <w:pPr>
        <w:ind w:left="32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6A7F8E">
      <w:start w:val="1"/>
      <w:numFmt w:val="bullet"/>
      <w:lvlText w:val="•"/>
      <w:lvlJc w:val="left"/>
      <w:pPr>
        <w:ind w:left="39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7E7988">
      <w:start w:val="1"/>
      <w:numFmt w:val="bullet"/>
      <w:lvlText w:val="o"/>
      <w:lvlJc w:val="left"/>
      <w:pPr>
        <w:ind w:left="46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D84778">
      <w:start w:val="1"/>
      <w:numFmt w:val="bullet"/>
      <w:lvlText w:val="▪"/>
      <w:lvlJc w:val="left"/>
      <w:pPr>
        <w:ind w:left="53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DE0B0E">
      <w:start w:val="1"/>
      <w:numFmt w:val="bullet"/>
      <w:lvlText w:val="•"/>
      <w:lvlJc w:val="left"/>
      <w:pPr>
        <w:ind w:left="60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C0117E">
      <w:start w:val="1"/>
      <w:numFmt w:val="bullet"/>
      <w:lvlText w:val="o"/>
      <w:lvlJc w:val="left"/>
      <w:pPr>
        <w:ind w:left="68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DEC35C">
      <w:start w:val="1"/>
      <w:numFmt w:val="bullet"/>
      <w:lvlText w:val="▪"/>
      <w:lvlJc w:val="left"/>
      <w:pPr>
        <w:ind w:left="75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6536A81"/>
    <w:multiLevelType w:val="multilevel"/>
    <w:tmpl w:val="D96ED21C"/>
    <w:name w:val="ClientDocText"/>
    <w:lvl w:ilvl="0">
      <w:start w:val="1"/>
      <w:numFmt w:val="none"/>
      <w:pStyle w:val="DocText"/>
      <w:suff w:val="nothing"/>
      <w:lvlText w:val=""/>
      <w:lvlJc w:val="left"/>
      <w:pPr>
        <w:ind w:left="0" w:firstLine="0"/>
      </w:p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9" w15:restartNumberingAfterBreak="0">
    <w:nsid w:val="2B4104E2"/>
    <w:multiLevelType w:val="hybridMultilevel"/>
    <w:tmpl w:val="D39ECDEC"/>
    <w:lvl w:ilvl="0" w:tplc="26C26E9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18D3CF2"/>
    <w:multiLevelType w:val="hybridMultilevel"/>
    <w:tmpl w:val="8AAEB4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9311CC"/>
    <w:multiLevelType w:val="hybridMultilevel"/>
    <w:tmpl w:val="F710AFF2"/>
    <w:styleLink w:val="Importovanstyl3"/>
    <w:lvl w:ilvl="0" w:tplc="5E1A95A8">
      <w:start w:val="1"/>
      <w:numFmt w:val="bullet"/>
      <w:lvlText w:val="-"/>
      <w:lvlJc w:val="left"/>
      <w:pPr>
        <w:ind w:left="72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1" w:tplc="C6843352">
      <w:start w:val="1"/>
      <w:numFmt w:val="bullet"/>
      <w:lvlText w:val="o"/>
      <w:lvlJc w:val="left"/>
      <w:pPr>
        <w:ind w:left="144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2" w:tplc="18583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DCAF60">
      <w:start w:val="1"/>
      <w:numFmt w:val="bullet"/>
      <w:lvlText w:val="•"/>
      <w:lvlJc w:val="left"/>
      <w:pPr>
        <w:ind w:left="288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4" w:tplc="6DAA8FA8">
      <w:start w:val="1"/>
      <w:numFmt w:val="bullet"/>
      <w:lvlText w:val="o"/>
      <w:lvlJc w:val="left"/>
      <w:pPr>
        <w:ind w:left="360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5" w:tplc="AAA2BB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028D56">
      <w:start w:val="1"/>
      <w:numFmt w:val="bullet"/>
      <w:lvlText w:val="•"/>
      <w:lvlJc w:val="left"/>
      <w:pPr>
        <w:ind w:left="504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7" w:tplc="9330171C">
      <w:start w:val="1"/>
      <w:numFmt w:val="bullet"/>
      <w:lvlText w:val="o"/>
      <w:lvlJc w:val="left"/>
      <w:pPr>
        <w:ind w:left="576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8" w:tplc="FA7055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30165D0"/>
    <w:multiLevelType w:val="hybridMultilevel"/>
    <w:tmpl w:val="4EFC883C"/>
    <w:lvl w:ilvl="0" w:tplc="EA2E8D68">
      <w:start w:val="1"/>
      <w:numFmt w:val="decimal"/>
      <w:lvlText w:val="%1."/>
      <w:lvlJc w:val="left"/>
      <w:pPr>
        <w:ind w:left="900" w:hanging="360"/>
      </w:pPr>
      <w:rPr>
        <w:rFonts w:eastAsia="Calibri" w:cs="Calibri" w:hint="default"/>
        <w:color w:val="000000"/>
        <w:u w:val="none"/>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3" w15:restartNumberingAfterBreak="0">
    <w:nsid w:val="36326AEB"/>
    <w:multiLevelType w:val="hybridMultilevel"/>
    <w:tmpl w:val="0A444DA2"/>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BF13FB"/>
    <w:multiLevelType w:val="hybridMultilevel"/>
    <w:tmpl w:val="605C1C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50493F19"/>
    <w:multiLevelType w:val="hybridMultilevel"/>
    <w:tmpl w:val="6DB2BC56"/>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BC4C68A">
      <w:start w:val="1"/>
      <w:numFmt w:val="lowerLetter"/>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02AD7AE">
      <w:start w:val="1"/>
      <w:numFmt w:val="lowerRoman"/>
      <w:lvlText w:val="%3."/>
      <w:lvlJc w:val="left"/>
      <w:pPr>
        <w:tabs>
          <w:tab w:val="left" w:pos="720"/>
        </w:tabs>
        <w:ind w:left="216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3" w:tplc="AE2428E0">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B022776">
      <w:start w:val="1"/>
      <w:numFmt w:val="lowerLetter"/>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426A12C">
      <w:start w:val="1"/>
      <w:numFmt w:val="lowerRoman"/>
      <w:lvlText w:val="%6."/>
      <w:lvlJc w:val="left"/>
      <w:pPr>
        <w:tabs>
          <w:tab w:val="left" w:pos="720"/>
        </w:tabs>
        <w:ind w:left="432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6" w:tplc="C05630BC">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B6037C8">
      <w:start w:val="1"/>
      <w:numFmt w:val="lowerLetter"/>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9E0811A">
      <w:start w:val="1"/>
      <w:numFmt w:val="lowerRoman"/>
      <w:lvlText w:val="%9."/>
      <w:lvlJc w:val="left"/>
      <w:pPr>
        <w:tabs>
          <w:tab w:val="left" w:pos="720"/>
        </w:tabs>
        <w:ind w:left="6480" w:hanging="26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E5B2227"/>
    <w:multiLevelType w:val="hybridMultilevel"/>
    <w:tmpl w:val="BBAC4BFC"/>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C45556"/>
    <w:multiLevelType w:val="hybridMultilevel"/>
    <w:tmpl w:val="D20E2372"/>
    <w:lvl w:ilvl="0" w:tplc="278EBD68">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B06B95"/>
    <w:multiLevelType w:val="hybridMultilevel"/>
    <w:tmpl w:val="F63E5718"/>
    <w:numStyleLink w:val="Importovanstyl2"/>
  </w:abstractNum>
  <w:abstractNum w:abstractNumId="19" w15:restartNumberingAfterBreak="0">
    <w:nsid w:val="6A767E72"/>
    <w:multiLevelType w:val="hybridMultilevel"/>
    <w:tmpl w:val="6DB2BC56"/>
    <w:styleLink w:val="Importovanstyl1"/>
    <w:lvl w:ilvl="0" w:tplc="C9822A0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3288FD8">
      <w:start w:val="1"/>
      <w:numFmt w:val="lowerLetter"/>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E56C13A">
      <w:start w:val="1"/>
      <w:numFmt w:val="lowerRoman"/>
      <w:lvlText w:val="%3."/>
      <w:lvlJc w:val="left"/>
      <w:pPr>
        <w:tabs>
          <w:tab w:val="left" w:pos="720"/>
        </w:tabs>
        <w:ind w:left="216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3" w:tplc="773CA11E">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6EA0144">
      <w:start w:val="1"/>
      <w:numFmt w:val="lowerLetter"/>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99CEE0E">
      <w:start w:val="1"/>
      <w:numFmt w:val="lowerRoman"/>
      <w:lvlText w:val="%6."/>
      <w:lvlJc w:val="left"/>
      <w:pPr>
        <w:tabs>
          <w:tab w:val="left" w:pos="720"/>
        </w:tabs>
        <w:ind w:left="432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6" w:tplc="3326BA16">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1147E66">
      <w:start w:val="1"/>
      <w:numFmt w:val="lowerLetter"/>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8C8F7B8">
      <w:start w:val="1"/>
      <w:numFmt w:val="lowerRoman"/>
      <w:lvlText w:val="%9."/>
      <w:lvlJc w:val="left"/>
      <w:pPr>
        <w:tabs>
          <w:tab w:val="left" w:pos="720"/>
        </w:tabs>
        <w:ind w:left="6480" w:hanging="26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CA71A91"/>
    <w:multiLevelType w:val="hybridMultilevel"/>
    <w:tmpl w:val="43DA8D4E"/>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A06DD1"/>
    <w:multiLevelType w:val="multilevel"/>
    <w:tmpl w:val="72A0F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31365C"/>
    <w:multiLevelType w:val="hybridMultilevel"/>
    <w:tmpl w:val="D4D80766"/>
    <w:lvl w:ilvl="0" w:tplc="BD6C5866">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6EA453A"/>
    <w:multiLevelType w:val="hybridMultilevel"/>
    <w:tmpl w:val="6DB2BC56"/>
    <w:numStyleLink w:val="Importovanstyl1"/>
  </w:abstractNum>
  <w:abstractNum w:abstractNumId="24" w15:restartNumberingAfterBreak="0">
    <w:nsid w:val="7CA06A12"/>
    <w:multiLevelType w:val="hybridMultilevel"/>
    <w:tmpl w:val="D4E88550"/>
    <w:lvl w:ilvl="0" w:tplc="DA22C986">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3"/>
    </w:lvlOverride>
  </w:num>
  <w:num w:numId="3">
    <w:abstractNumId w:val="19"/>
  </w:num>
  <w:num w:numId="4">
    <w:abstractNumId w:val="23"/>
  </w:num>
  <w:num w:numId="5">
    <w:abstractNumId w:val="7"/>
  </w:num>
  <w:num w:numId="6">
    <w:abstractNumId w:val="18"/>
  </w:num>
  <w:num w:numId="7">
    <w:abstractNumId w:val="23"/>
    <w:lvlOverride w:ilvl="0">
      <w:startOverride w:val="3"/>
    </w:lvlOverride>
  </w:num>
  <w:num w:numId="8">
    <w:abstractNumId w:val="11"/>
  </w:num>
  <w:num w:numId="9">
    <w:abstractNumId w:val="3"/>
  </w:num>
  <w:num w:numId="10">
    <w:abstractNumId w:val="2"/>
  </w:num>
  <w:num w:numId="11">
    <w:abstractNumId w:val="15"/>
  </w:num>
  <w:num w:numId="12">
    <w:abstractNumId w:val="13"/>
  </w:num>
  <w:num w:numId="13">
    <w:abstractNumId w:val="20"/>
  </w:num>
  <w:num w:numId="14">
    <w:abstractNumId w:val="16"/>
  </w:num>
  <w:num w:numId="15">
    <w:abstractNumId w:val="12"/>
  </w:num>
  <w:num w:numId="16">
    <w:abstractNumId w:val="17"/>
  </w:num>
  <w:num w:numId="17">
    <w:abstractNumId w:val="22"/>
  </w:num>
  <w:num w:numId="18">
    <w:abstractNumId w:val="24"/>
  </w:num>
  <w:num w:numId="19">
    <w:abstractNumId w:val="0"/>
  </w:num>
  <w:num w:numId="20">
    <w:abstractNumId w:val="21"/>
  </w:num>
  <w:num w:numId="21">
    <w:abstractNumId w:val="6"/>
  </w:num>
  <w:num w:numId="22">
    <w:abstractNumId w:val="14"/>
  </w:num>
  <w:num w:numId="23">
    <w:abstractNumId w:val="10"/>
  </w:num>
  <w:num w:numId="24">
    <w:abstractNumId w:val="8"/>
  </w:num>
  <w:num w:numId="25">
    <w:abstractNumId w:val="5"/>
  </w:num>
  <w:num w:numId="26">
    <w:abstractNumId w:val="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F42"/>
    <w:rsid w:val="0000033C"/>
    <w:rsid w:val="0000072B"/>
    <w:rsid w:val="00002312"/>
    <w:rsid w:val="00006F84"/>
    <w:rsid w:val="00011BC9"/>
    <w:rsid w:val="000121BD"/>
    <w:rsid w:val="000137C5"/>
    <w:rsid w:val="000145C2"/>
    <w:rsid w:val="00015D23"/>
    <w:rsid w:val="0002199B"/>
    <w:rsid w:val="00022236"/>
    <w:rsid w:val="00023287"/>
    <w:rsid w:val="000263F5"/>
    <w:rsid w:val="00033020"/>
    <w:rsid w:val="000366F8"/>
    <w:rsid w:val="00036AF6"/>
    <w:rsid w:val="00043A32"/>
    <w:rsid w:val="0004435C"/>
    <w:rsid w:val="000448C3"/>
    <w:rsid w:val="00053B1C"/>
    <w:rsid w:val="00062906"/>
    <w:rsid w:val="0007535B"/>
    <w:rsid w:val="00081B56"/>
    <w:rsid w:val="00082D9E"/>
    <w:rsid w:val="000833F7"/>
    <w:rsid w:val="0008559E"/>
    <w:rsid w:val="00085826"/>
    <w:rsid w:val="00085F4E"/>
    <w:rsid w:val="0009140E"/>
    <w:rsid w:val="000919F2"/>
    <w:rsid w:val="00091E69"/>
    <w:rsid w:val="00093108"/>
    <w:rsid w:val="00093FB3"/>
    <w:rsid w:val="0009411E"/>
    <w:rsid w:val="000952CF"/>
    <w:rsid w:val="000A27C6"/>
    <w:rsid w:val="000B13E7"/>
    <w:rsid w:val="000B1A87"/>
    <w:rsid w:val="000B21AC"/>
    <w:rsid w:val="000B24A8"/>
    <w:rsid w:val="000C0981"/>
    <w:rsid w:val="000C2FD7"/>
    <w:rsid w:val="000C4FC8"/>
    <w:rsid w:val="000C5E76"/>
    <w:rsid w:val="000D25CD"/>
    <w:rsid w:val="000D43DB"/>
    <w:rsid w:val="000D7679"/>
    <w:rsid w:val="000E092E"/>
    <w:rsid w:val="000E4D20"/>
    <w:rsid w:val="000E5078"/>
    <w:rsid w:val="000E5AF0"/>
    <w:rsid w:val="000E6AF0"/>
    <w:rsid w:val="000F0133"/>
    <w:rsid w:val="000F1606"/>
    <w:rsid w:val="000F19DA"/>
    <w:rsid w:val="000F3825"/>
    <w:rsid w:val="000F575E"/>
    <w:rsid w:val="000F68CF"/>
    <w:rsid w:val="000F74D7"/>
    <w:rsid w:val="000F7E6C"/>
    <w:rsid w:val="001005A4"/>
    <w:rsid w:val="001010ED"/>
    <w:rsid w:val="00101DB3"/>
    <w:rsid w:val="001037CA"/>
    <w:rsid w:val="001053D9"/>
    <w:rsid w:val="00107B98"/>
    <w:rsid w:val="00107DD7"/>
    <w:rsid w:val="0011466E"/>
    <w:rsid w:val="00114B57"/>
    <w:rsid w:val="001162D9"/>
    <w:rsid w:val="00123F88"/>
    <w:rsid w:val="0012423E"/>
    <w:rsid w:val="001266D7"/>
    <w:rsid w:val="00130054"/>
    <w:rsid w:val="001338D4"/>
    <w:rsid w:val="0013496F"/>
    <w:rsid w:val="00143368"/>
    <w:rsid w:val="001445E8"/>
    <w:rsid w:val="00144662"/>
    <w:rsid w:val="001465DA"/>
    <w:rsid w:val="0014789A"/>
    <w:rsid w:val="00152161"/>
    <w:rsid w:val="001529C5"/>
    <w:rsid w:val="0015380F"/>
    <w:rsid w:val="00154180"/>
    <w:rsid w:val="001545D6"/>
    <w:rsid w:val="00154B2A"/>
    <w:rsid w:val="001563C4"/>
    <w:rsid w:val="00157A69"/>
    <w:rsid w:val="00160081"/>
    <w:rsid w:val="00166635"/>
    <w:rsid w:val="001667DE"/>
    <w:rsid w:val="001679A4"/>
    <w:rsid w:val="00173CFC"/>
    <w:rsid w:val="001805AD"/>
    <w:rsid w:val="001805ED"/>
    <w:rsid w:val="0018534A"/>
    <w:rsid w:val="001855E8"/>
    <w:rsid w:val="001864A6"/>
    <w:rsid w:val="00190412"/>
    <w:rsid w:val="0019321B"/>
    <w:rsid w:val="001956C5"/>
    <w:rsid w:val="001A1BA5"/>
    <w:rsid w:val="001B21D7"/>
    <w:rsid w:val="001B2B42"/>
    <w:rsid w:val="001B3BCF"/>
    <w:rsid w:val="001B3E89"/>
    <w:rsid w:val="001B409D"/>
    <w:rsid w:val="001B4889"/>
    <w:rsid w:val="001B6380"/>
    <w:rsid w:val="001B76DA"/>
    <w:rsid w:val="001D5CE9"/>
    <w:rsid w:val="001E3DB4"/>
    <w:rsid w:val="001F2F7E"/>
    <w:rsid w:val="001F3024"/>
    <w:rsid w:val="001F32C6"/>
    <w:rsid w:val="001F5959"/>
    <w:rsid w:val="001F6EC0"/>
    <w:rsid w:val="001F7060"/>
    <w:rsid w:val="00201A5A"/>
    <w:rsid w:val="002031F9"/>
    <w:rsid w:val="002052D2"/>
    <w:rsid w:val="00205F0B"/>
    <w:rsid w:val="00210C64"/>
    <w:rsid w:val="0021469E"/>
    <w:rsid w:val="00215AC8"/>
    <w:rsid w:val="00226D51"/>
    <w:rsid w:val="0022733B"/>
    <w:rsid w:val="00230885"/>
    <w:rsid w:val="00230A6D"/>
    <w:rsid w:val="002322ED"/>
    <w:rsid w:val="00234C27"/>
    <w:rsid w:val="002356E7"/>
    <w:rsid w:val="00235C53"/>
    <w:rsid w:val="00236273"/>
    <w:rsid w:val="0023674D"/>
    <w:rsid w:val="00236CF3"/>
    <w:rsid w:val="002407E6"/>
    <w:rsid w:val="00243B18"/>
    <w:rsid w:val="00243B74"/>
    <w:rsid w:val="002443C5"/>
    <w:rsid w:val="00245B7D"/>
    <w:rsid w:val="00245EF9"/>
    <w:rsid w:val="002630DB"/>
    <w:rsid w:val="00265157"/>
    <w:rsid w:val="00265227"/>
    <w:rsid w:val="0026547E"/>
    <w:rsid w:val="002669C7"/>
    <w:rsid w:val="00273B30"/>
    <w:rsid w:val="00275A82"/>
    <w:rsid w:val="00277152"/>
    <w:rsid w:val="00280D7C"/>
    <w:rsid w:val="00282247"/>
    <w:rsid w:val="00283187"/>
    <w:rsid w:val="00283EAA"/>
    <w:rsid w:val="00284597"/>
    <w:rsid w:val="00286E54"/>
    <w:rsid w:val="00296B1E"/>
    <w:rsid w:val="002A0E9F"/>
    <w:rsid w:val="002A2180"/>
    <w:rsid w:val="002A6D66"/>
    <w:rsid w:val="002A74E2"/>
    <w:rsid w:val="002B0F85"/>
    <w:rsid w:val="002B41B0"/>
    <w:rsid w:val="002B5E88"/>
    <w:rsid w:val="002C050B"/>
    <w:rsid w:val="002C0CA5"/>
    <w:rsid w:val="002C22F0"/>
    <w:rsid w:val="002C3716"/>
    <w:rsid w:val="002C3A51"/>
    <w:rsid w:val="002C67D8"/>
    <w:rsid w:val="002C73DB"/>
    <w:rsid w:val="002D2D79"/>
    <w:rsid w:val="002D41BF"/>
    <w:rsid w:val="002D6974"/>
    <w:rsid w:val="002D7501"/>
    <w:rsid w:val="002D7846"/>
    <w:rsid w:val="002E3DD7"/>
    <w:rsid w:val="002E5ED2"/>
    <w:rsid w:val="002E687B"/>
    <w:rsid w:val="002E7C08"/>
    <w:rsid w:val="002F1246"/>
    <w:rsid w:val="002F1C2D"/>
    <w:rsid w:val="00305D8A"/>
    <w:rsid w:val="0031046B"/>
    <w:rsid w:val="00310727"/>
    <w:rsid w:val="00312755"/>
    <w:rsid w:val="003136A9"/>
    <w:rsid w:val="00313FCB"/>
    <w:rsid w:val="003157E9"/>
    <w:rsid w:val="003208CF"/>
    <w:rsid w:val="00325300"/>
    <w:rsid w:val="00325440"/>
    <w:rsid w:val="003274A1"/>
    <w:rsid w:val="00331CF0"/>
    <w:rsid w:val="003345B0"/>
    <w:rsid w:val="00335267"/>
    <w:rsid w:val="00335EA2"/>
    <w:rsid w:val="003376A9"/>
    <w:rsid w:val="00337A39"/>
    <w:rsid w:val="00344BB2"/>
    <w:rsid w:val="00344D60"/>
    <w:rsid w:val="003456E8"/>
    <w:rsid w:val="00346412"/>
    <w:rsid w:val="00346BAD"/>
    <w:rsid w:val="00350A30"/>
    <w:rsid w:val="00360460"/>
    <w:rsid w:val="00361EFE"/>
    <w:rsid w:val="003717F4"/>
    <w:rsid w:val="00373A60"/>
    <w:rsid w:val="00374701"/>
    <w:rsid w:val="00381D4F"/>
    <w:rsid w:val="00382676"/>
    <w:rsid w:val="00382E2D"/>
    <w:rsid w:val="00383DD1"/>
    <w:rsid w:val="003842BC"/>
    <w:rsid w:val="00385666"/>
    <w:rsid w:val="003859DF"/>
    <w:rsid w:val="00387912"/>
    <w:rsid w:val="003935E0"/>
    <w:rsid w:val="00394A5E"/>
    <w:rsid w:val="00397204"/>
    <w:rsid w:val="003A19D2"/>
    <w:rsid w:val="003A7C1C"/>
    <w:rsid w:val="003B07D9"/>
    <w:rsid w:val="003B0B57"/>
    <w:rsid w:val="003B3823"/>
    <w:rsid w:val="003B4A06"/>
    <w:rsid w:val="003B5025"/>
    <w:rsid w:val="003B53D2"/>
    <w:rsid w:val="003B6A78"/>
    <w:rsid w:val="003C2140"/>
    <w:rsid w:val="003C3B50"/>
    <w:rsid w:val="003C693A"/>
    <w:rsid w:val="003D0DDD"/>
    <w:rsid w:val="003D1805"/>
    <w:rsid w:val="003D1F47"/>
    <w:rsid w:val="003D38C3"/>
    <w:rsid w:val="003D3A44"/>
    <w:rsid w:val="003D7359"/>
    <w:rsid w:val="003D7811"/>
    <w:rsid w:val="003D7BDD"/>
    <w:rsid w:val="003E110B"/>
    <w:rsid w:val="003E5C5F"/>
    <w:rsid w:val="003E6BD8"/>
    <w:rsid w:val="003E746A"/>
    <w:rsid w:val="003E75C1"/>
    <w:rsid w:val="003F1658"/>
    <w:rsid w:val="003F1965"/>
    <w:rsid w:val="003F3D43"/>
    <w:rsid w:val="003F4745"/>
    <w:rsid w:val="003F4A1B"/>
    <w:rsid w:val="00404841"/>
    <w:rsid w:val="0040514D"/>
    <w:rsid w:val="0040660A"/>
    <w:rsid w:val="0040789A"/>
    <w:rsid w:val="00414F9C"/>
    <w:rsid w:val="0041624C"/>
    <w:rsid w:val="0041754E"/>
    <w:rsid w:val="004212F9"/>
    <w:rsid w:val="00424319"/>
    <w:rsid w:val="00426F66"/>
    <w:rsid w:val="00437606"/>
    <w:rsid w:val="004377B6"/>
    <w:rsid w:val="0045211D"/>
    <w:rsid w:val="00452D75"/>
    <w:rsid w:val="004543A3"/>
    <w:rsid w:val="00456EE3"/>
    <w:rsid w:val="004573CE"/>
    <w:rsid w:val="00463702"/>
    <w:rsid w:val="00465761"/>
    <w:rsid w:val="00466951"/>
    <w:rsid w:val="004707AA"/>
    <w:rsid w:val="00474FCA"/>
    <w:rsid w:val="004772F9"/>
    <w:rsid w:val="00477DEC"/>
    <w:rsid w:val="00481689"/>
    <w:rsid w:val="00483D54"/>
    <w:rsid w:val="00484071"/>
    <w:rsid w:val="00485014"/>
    <w:rsid w:val="004900C7"/>
    <w:rsid w:val="00492BE6"/>
    <w:rsid w:val="004949ED"/>
    <w:rsid w:val="004959C1"/>
    <w:rsid w:val="00496496"/>
    <w:rsid w:val="004970B0"/>
    <w:rsid w:val="004978A3"/>
    <w:rsid w:val="004A55AB"/>
    <w:rsid w:val="004A64A6"/>
    <w:rsid w:val="004A6F32"/>
    <w:rsid w:val="004B05B1"/>
    <w:rsid w:val="004B2BD5"/>
    <w:rsid w:val="004C0BB6"/>
    <w:rsid w:val="004C1874"/>
    <w:rsid w:val="004C30EC"/>
    <w:rsid w:val="004C50C5"/>
    <w:rsid w:val="004C7BD2"/>
    <w:rsid w:val="004D075E"/>
    <w:rsid w:val="004D0CF0"/>
    <w:rsid w:val="004D21E1"/>
    <w:rsid w:val="004D45C7"/>
    <w:rsid w:val="004D5AC0"/>
    <w:rsid w:val="004D620A"/>
    <w:rsid w:val="004D6751"/>
    <w:rsid w:val="004D7AC3"/>
    <w:rsid w:val="004E304E"/>
    <w:rsid w:val="004E30DD"/>
    <w:rsid w:val="004E55BC"/>
    <w:rsid w:val="004E60E6"/>
    <w:rsid w:val="004F0E8C"/>
    <w:rsid w:val="004F1480"/>
    <w:rsid w:val="004F5E21"/>
    <w:rsid w:val="005010A0"/>
    <w:rsid w:val="00501BF3"/>
    <w:rsid w:val="005036EB"/>
    <w:rsid w:val="00506252"/>
    <w:rsid w:val="00514DD4"/>
    <w:rsid w:val="00514EFC"/>
    <w:rsid w:val="00516083"/>
    <w:rsid w:val="00520594"/>
    <w:rsid w:val="00521286"/>
    <w:rsid w:val="00522927"/>
    <w:rsid w:val="00523F56"/>
    <w:rsid w:val="00524829"/>
    <w:rsid w:val="00525E59"/>
    <w:rsid w:val="00527D92"/>
    <w:rsid w:val="00531CB3"/>
    <w:rsid w:val="00531FB7"/>
    <w:rsid w:val="005350C4"/>
    <w:rsid w:val="00535F7E"/>
    <w:rsid w:val="00537097"/>
    <w:rsid w:val="0054156C"/>
    <w:rsid w:val="005436BD"/>
    <w:rsid w:val="00544402"/>
    <w:rsid w:val="0055301D"/>
    <w:rsid w:val="00554101"/>
    <w:rsid w:val="00554ABB"/>
    <w:rsid w:val="0055504C"/>
    <w:rsid w:val="00555B24"/>
    <w:rsid w:val="00557BFC"/>
    <w:rsid w:val="005629DE"/>
    <w:rsid w:val="00562A3A"/>
    <w:rsid w:val="005630E8"/>
    <w:rsid w:val="00564F18"/>
    <w:rsid w:val="00565BE2"/>
    <w:rsid w:val="005663FA"/>
    <w:rsid w:val="00567E72"/>
    <w:rsid w:val="0057042A"/>
    <w:rsid w:val="005705E0"/>
    <w:rsid w:val="005762E1"/>
    <w:rsid w:val="00580550"/>
    <w:rsid w:val="00580E22"/>
    <w:rsid w:val="00581906"/>
    <w:rsid w:val="005827C7"/>
    <w:rsid w:val="00584AF1"/>
    <w:rsid w:val="005A0884"/>
    <w:rsid w:val="005A3A2E"/>
    <w:rsid w:val="005A4FD7"/>
    <w:rsid w:val="005A501D"/>
    <w:rsid w:val="005A777E"/>
    <w:rsid w:val="005B1018"/>
    <w:rsid w:val="005B336A"/>
    <w:rsid w:val="005B3CC4"/>
    <w:rsid w:val="005B53E2"/>
    <w:rsid w:val="005B5BE6"/>
    <w:rsid w:val="005C3EB8"/>
    <w:rsid w:val="005C54FA"/>
    <w:rsid w:val="005C59D9"/>
    <w:rsid w:val="005D077E"/>
    <w:rsid w:val="005D1C6B"/>
    <w:rsid w:val="005D3E2D"/>
    <w:rsid w:val="005D4AFD"/>
    <w:rsid w:val="005D568D"/>
    <w:rsid w:val="005D583F"/>
    <w:rsid w:val="005D586C"/>
    <w:rsid w:val="005E094E"/>
    <w:rsid w:val="005E51F6"/>
    <w:rsid w:val="005F03BF"/>
    <w:rsid w:val="005F3B00"/>
    <w:rsid w:val="006051EB"/>
    <w:rsid w:val="00607B14"/>
    <w:rsid w:val="00611CE1"/>
    <w:rsid w:val="00614621"/>
    <w:rsid w:val="00616A59"/>
    <w:rsid w:val="00620403"/>
    <w:rsid w:val="006243A3"/>
    <w:rsid w:val="00626F7E"/>
    <w:rsid w:val="00626F85"/>
    <w:rsid w:val="00630143"/>
    <w:rsid w:val="00631A42"/>
    <w:rsid w:val="00635E5C"/>
    <w:rsid w:val="006360E8"/>
    <w:rsid w:val="00636FFC"/>
    <w:rsid w:val="0065282C"/>
    <w:rsid w:val="006540B4"/>
    <w:rsid w:val="0065430A"/>
    <w:rsid w:val="0065560B"/>
    <w:rsid w:val="00656404"/>
    <w:rsid w:val="0065762D"/>
    <w:rsid w:val="00660EF7"/>
    <w:rsid w:val="0066168C"/>
    <w:rsid w:val="0066271B"/>
    <w:rsid w:val="006657F8"/>
    <w:rsid w:val="00670BB7"/>
    <w:rsid w:val="00671428"/>
    <w:rsid w:val="00680A38"/>
    <w:rsid w:val="0068171A"/>
    <w:rsid w:val="006836F3"/>
    <w:rsid w:val="00684B27"/>
    <w:rsid w:val="006A14DC"/>
    <w:rsid w:val="006A40B9"/>
    <w:rsid w:val="006A5412"/>
    <w:rsid w:val="006A5842"/>
    <w:rsid w:val="006B22C3"/>
    <w:rsid w:val="006B31A4"/>
    <w:rsid w:val="006C4FF6"/>
    <w:rsid w:val="006C5294"/>
    <w:rsid w:val="006D3F5A"/>
    <w:rsid w:val="006D5E52"/>
    <w:rsid w:val="006D7610"/>
    <w:rsid w:val="006E07B1"/>
    <w:rsid w:val="006E0EDC"/>
    <w:rsid w:val="006E679F"/>
    <w:rsid w:val="006F2ADD"/>
    <w:rsid w:val="006F38BB"/>
    <w:rsid w:val="006F49B4"/>
    <w:rsid w:val="00704B37"/>
    <w:rsid w:val="0070650A"/>
    <w:rsid w:val="007105E6"/>
    <w:rsid w:val="00710653"/>
    <w:rsid w:val="00716680"/>
    <w:rsid w:val="0071721B"/>
    <w:rsid w:val="00724A68"/>
    <w:rsid w:val="00724EAE"/>
    <w:rsid w:val="00730EBD"/>
    <w:rsid w:val="00733BEA"/>
    <w:rsid w:val="0073704D"/>
    <w:rsid w:val="007373AD"/>
    <w:rsid w:val="007433DB"/>
    <w:rsid w:val="00744DD0"/>
    <w:rsid w:val="0074642D"/>
    <w:rsid w:val="00746C55"/>
    <w:rsid w:val="00752DC4"/>
    <w:rsid w:val="007554CD"/>
    <w:rsid w:val="007568C9"/>
    <w:rsid w:val="007621A1"/>
    <w:rsid w:val="00763DC5"/>
    <w:rsid w:val="00764E2E"/>
    <w:rsid w:val="007670D9"/>
    <w:rsid w:val="00770356"/>
    <w:rsid w:val="00771AAF"/>
    <w:rsid w:val="0077585F"/>
    <w:rsid w:val="00776085"/>
    <w:rsid w:val="00776D66"/>
    <w:rsid w:val="00782FC1"/>
    <w:rsid w:val="00790B7D"/>
    <w:rsid w:val="0079518A"/>
    <w:rsid w:val="007A4459"/>
    <w:rsid w:val="007A58D4"/>
    <w:rsid w:val="007A6CDD"/>
    <w:rsid w:val="007A7F42"/>
    <w:rsid w:val="007B63FA"/>
    <w:rsid w:val="007B6ABB"/>
    <w:rsid w:val="007C0BEE"/>
    <w:rsid w:val="007C26CE"/>
    <w:rsid w:val="007C3807"/>
    <w:rsid w:val="007D2B05"/>
    <w:rsid w:val="007D3EDD"/>
    <w:rsid w:val="007E2BF3"/>
    <w:rsid w:val="007E394E"/>
    <w:rsid w:val="007E5401"/>
    <w:rsid w:val="007E7F05"/>
    <w:rsid w:val="007F7634"/>
    <w:rsid w:val="008006F1"/>
    <w:rsid w:val="008043CA"/>
    <w:rsid w:val="00804CC6"/>
    <w:rsid w:val="00806EEE"/>
    <w:rsid w:val="00812C8C"/>
    <w:rsid w:val="00820657"/>
    <w:rsid w:val="00821B0E"/>
    <w:rsid w:val="008229F4"/>
    <w:rsid w:val="00832780"/>
    <w:rsid w:val="008328E7"/>
    <w:rsid w:val="00833714"/>
    <w:rsid w:val="008355A0"/>
    <w:rsid w:val="0083575E"/>
    <w:rsid w:val="008359D9"/>
    <w:rsid w:val="00841E63"/>
    <w:rsid w:val="00841E84"/>
    <w:rsid w:val="00842B15"/>
    <w:rsid w:val="008432DA"/>
    <w:rsid w:val="00843432"/>
    <w:rsid w:val="0084533D"/>
    <w:rsid w:val="00846048"/>
    <w:rsid w:val="00847925"/>
    <w:rsid w:val="008547EC"/>
    <w:rsid w:val="00860737"/>
    <w:rsid w:val="00861D5A"/>
    <w:rsid w:val="0086342C"/>
    <w:rsid w:val="008640CC"/>
    <w:rsid w:val="0087024A"/>
    <w:rsid w:val="00873AF5"/>
    <w:rsid w:val="00874C94"/>
    <w:rsid w:val="00877B11"/>
    <w:rsid w:val="00877ED6"/>
    <w:rsid w:val="00880709"/>
    <w:rsid w:val="00884B03"/>
    <w:rsid w:val="0089220A"/>
    <w:rsid w:val="00897CFB"/>
    <w:rsid w:val="008A0170"/>
    <w:rsid w:val="008A31EC"/>
    <w:rsid w:val="008A4CA5"/>
    <w:rsid w:val="008A642E"/>
    <w:rsid w:val="008B2AE0"/>
    <w:rsid w:val="008B426C"/>
    <w:rsid w:val="008B65D9"/>
    <w:rsid w:val="008C0D3C"/>
    <w:rsid w:val="008C7A43"/>
    <w:rsid w:val="008D1A38"/>
    <w:rsid w:val="008D2C30"/>
    <w:rsid w:val="008D6ABE"/>
    <w:rsid w:val="008F293E"/>
    <w:rsid w:val="008F398E"/>
    <w:rsid w:val="008F4015"/>
    <w:rsid w:val="008F4B21"/>
    <w:rsid w:val="008F63D4"/>
    <w:rsid w:val="009025E9"/>
    <w:rsid w:val="00903103"/>
    <w:rsid w:val="00903354"/>
    <w:rsid w:val="009051FC"/>
    <w:rsid w:val="0091138C"/>
    <w:rsid w:val="009125F4"/>
    <w:rsid w:val="00913052"/>
    <w:rsid w:val="00913752"/>
    <w:rsid w:val="00914E1F"/>
    <w:rsid w:val="00915065"/>
    <w:rsid w:val="00915875"/>
    <w:rsid w:val="00915DF1"/>
    <w:rsid w:val="00920273"/>
    <w:rsid w:val="0092110E"/>
    <w:rsid w:val="00921A3B"/>
    <w:rsid w:val="00923A2F"/>
    <w:rsid w:val="00923D36"/>
    <w:rsid w:val="00924F2D"/>
    <w:rsid w:val="00927D1C"/>
    <w:rsid w:val="009307EC"/>
    <w:rsid w:val="00933A3E"/>
    <w:rsid w:val="009342AC"/>
    <w:rsid w:val="00936093"/>
    <w:rsid w:val="00937CA8"/>
    <w:rsid w:val="00941AEE"/>
    <w:rsid w:val="00952871"/>
    <w:rsid w:val="00952A67"/>
    <w:rsid w:val="00955D6F"/>
    <w:rsid w:val="009573A7"/>
    <w:rsid w:val="009613C0"/>
    <w:rsid w:val="00962E5F"/>
    <w:rsid w:val="00963D40"/>
    <w:rsid w:val="00964C6A"/>
    <w:rsid w:val="00965EB1"/>
    <w:rsid w:val="009671A0"/>
    <w:rsid w:val="009707CF"/>
    <w:rsid w:val="009758F1"/>
    <w:rsid w:val="009769FD"/>
    <w:rsid w:val="009808CC"/>
    <w:rsid w:val="009905B5"/>
    <w:rsid w:val="00990BCC"/>
    <w:rsid w:val="00991E29"/>
    <w:rsid w:val="00993994"/>
    <w:rsid w:val="0099663C"/>
    <w:rsid w:val="009968BA"/>
    <w:rsid w:val="009A64B5"/>
    <w:rsid w:val="009B06C3"/>
    <w:rsid w:val="009B10FD"/>
    <w:rsid w:val="009B320B"/>
    <w:rsid w:val="009B4CC1"/>
    <w:rsid w:val="009B711E"/>
    <w:rsid w:val="009C093C"/>
    <w:rsid w:val="009C2F8D"/>
    <w:rsid w:val="009D0305"/>
    <w:rsid w:val="009D0AEC"/>
    <w:rsid w:val="009D4F11"/>
    <w:rsid w:val="009E195C"/>
    <w:rsid w:val="009E23AD"/>
    <w:rsid w:val="009E2575"/>
    <w:rsid w:val="009E3AE0"/>
    <w:rsid w:val="009F2B91"/>
    <w:rsid w:val="009F6620"/>
    <w:rsid w:val="009F66ED"/>
    <w:rsid w:val="00A05283"/>
    <w:rsid w:val="00A059D0"/>
    <w:rsid w:val="00A141D3"/>
    <w:rsid w:val="00A14A1C"/>
    <w:rsid w:val="00A17A96"/>
    <w:rsid w:val="00A22574"/>
    <w:rsid w:val="00A22FB7"/>
    <w:rsid w:val="00A230F6"/>
    <w:rsid w:val="00A2378E"/>
    <w:rsid w:val="00A239AD"/>
    <w:rsid w:val="00A24A3D"/>
    <w:rsid w:val="00A2515D"/>
    <w:rsid w:val="00A25BAA"/>
    <w:rsid w:val="00A25BF9"/>
    <w:rsid w:val="00A261FD"/>
    <w:rsid w:val="00A26F3E"/>
    <w:rsid w:val="00A271DB"/>
    <w:rsid w:val="00A308C7"/>
    <w:rsid w:val="00A32E32"/>
    <w:rsid w:val="00A33D93"/>
    <w:rsid w:val="00A344E2"/>
    <w:rsid w:val="00A40EB0"/>
    <w:rsid w:val="00A41B38"/>
    <w:rsid w:val="00A4385F"/>
    <w:rsid w:val="00A63A7D"/>
    <w:rsid w:val="00A646D6"/>
    <w:rsid w:val="00A66764"/>
    <w:rsid w:val="00A7239E"/>
    <w:rsid w:val="00A72816"/>
    <w:rsid w:val="00A72E1E"/>
    <w:rsid w:val="00A75543"/>
    <w:rsid w:val="00A7558A"/>
    <w:rsid w:val="00A756EC"/>
    <w:rsid w:val="00A76F9A"/>
    <w:rsid w:val="00A80342"/>
    <w:rsid w:val="00A85A5A"/>
    <w:rsid w:val="00A860CC"/>
    <w:rsid w:val="00A867D7"/>
    <w:rsid w:val="00A86AFF"/>
    <w:rsid w:val="00A8771A"/>
    <w:rsid w:val="00A9630A"/>
    <w:rsid w:val="00AA046D"/>
    <w:rsid w:val="00AA0FDA"/>
    <w:rsid w:val="00AA39B3"/>
    <w:rsid w:val="00AB3049"/>
    <w:rsid w:val="00AB39EA"/>
    <w:rsid w:val="00AB3C79"/>
    <w:rsid w:val="00AB6D42"/>
    <w:rsid w:val="00AB73DB"/>
    <w:rsid w:val="00AC3D2D"/>
    <w:rsid w:val="00AC4ADE"/>
    <w:rsid w:val="00AC6BC1"/>
    <w:rsid w:val="00AD7EE9"/>
    <w:rsid w:val="00AE192D"/>
    <w:rsid w:val="00AE2946"/>
    <w:rsid w:val="00AE4574"/>
    <w:rsid w:val="00AF04BD"/>
    <w:rsid w:val="00AF0691"/>
    <w:rsid w:val="00AF33CF"/>
    <w:rsid w:val="00AF409F"/>
    <w:rsid w:val="00AF4E8C"/>
    <w:rsid w:val="00AF59F7"/>
    <w:rsid w:val="00B015E9"/>
    <w:rsid w:val="00B06728"/>
    <w:rsid w:val="00B077A5"/>
    <w:rsid w:val="00B11874"/>
    <w:rsid w:val="00B12A34"/>
    <w:rsid w:val="00B13BA2"/>
    <w:rsid w:val="00B13EC9"/>
    <w:rsid w:val="00B148E0"/>
    <w:rsid w:val="00B24D0C"/>
    <w:rsid w:val="00B31632"/>
    <w:rsid w:val="00B32F3D"/>
    <w:rsid w:val="00B33A44"/>
    <w:rsid w:val="00B34FBC"/>
    <w:rsid w:val="00B357EB"/>
    <w:rsid w:val="00B359CA"/>
    <w:rsid w:val="00B37ADE"/>
    <w:rsid w:val="00B40446"/>
    <w:rsid w:val="00B44178"/>
    <w:rsid w:val="00B50C29"/>
    <w:rsid w:val="00B51C90"/>
    <w:rsid w:val="00B541FE"/>
    <w:rsid w:val="00B54B9E"/>
    <w:rsid w:val="00B55120"/>
    <w:rsid w:val="00B55519"/>
    <w:rsid w:val="00B65457"/>
    <w:rsid w:val="00B676B8"/>
    <w:rsid w:val="00B741B9"/>
    <w:rsid w:val="00B747BE"/>
    <w:rsid w:val="00B82677"/>
    <w:rsid w:val="00B86B07"/>
    <w:rsid w:val="00B91585"/>
    <w:rsid w:val="00B92C08"/>
    <w:rsid w:val="00B96AD5"/>
    <w:rsid w:val="00BA3604"/>
    <w:rsid w:val="00BA3911"/>
    <w:rsid w:val="00BA5B32"/>
    <w:rsid w:val="00BA6343"/>
    <w:rsid w:val="00BB03E3"/>
    <w:rsid w:val="00BB6B39"/>
    <w:rsid w:val="00BC19E7"/>
    <w:rsid w:val="00BC28F4"/>
    <w:rsid w:val="00BC32FB"/>
    <w:rsid w:val="00BD1CBE"/>
    <w:rsid w:val="00BD2736"/>
    <w:rsid w:val="00BD5F80"/>
    <w:rsid w:val="00BD5FC2"/>
    <w:rsid w:val="00BD660E"/>
    <w:rsid w:val="00BE1CBA"/>
    <w:rsid w:val="00BE390A"/>
    <w:rsid w:val="00BE3B07"/>
    <w:rsid w:val="00BE6196"/>
    <w:rsid w:val="00BE7863"/>
    <w:rsid w:val="00BF34F0"/>
    <w:rsid w:val="00BF77CC"/>
    <w:rsid w:val="00C027D7"/>
    <w:rsid w:val="00C1036C"/>
    <w:rsid w:val="00C14FE5"/>
    <w:rsid w:val="00C17D75"/>
    <w:rsid w:val="00C21598"/>
    <w:rsid w:val="00C21AB4"/>
    <w:rsid w:val="00C22CEA"/>
    <w:rsid w:val="00C23546"/>
    <w:rsid w:val="00C240FB"/>
    <w:rsid w:val="00C256F8"/>
    <w:rsid w:val="00C312DC"/>
    <w:rsid w:val="00C315CB"/>
    <w:rsid w:val="00C33672"/>
    <w:rsid w:val="00C40A62"/>
    <w:rsid w:val="00C419A5"/>
    <w:rsid w:val="00C43379"/>
    <w:rsid w:val="00C45443"/>
    <w:rsid w:val="00C47C19"/>
    <w:rsid w:val="00C52BF2"/>
    <w:rsid w:val="00C565EB"/>
    <w:rsid w:val="00C5669E"/>
    <w:rsid w:val="00C57455"/>
    <w:rsid w:val="00C577DC"/>
    <w:rsid w:val="00C63670"/>
    <w:rsid w:val="00C63723"/>
    <w:rsid w:val="00C65C3B"/>
    <w:rsid w:val="00C77A95"/>
    <w:rsid w:val="00C801A6"/>
    <w:rsid w:val="00C801E6"/>
    <w:rsid w:val="00C80332"/>
    <w:rsid w:val="00C81784"/>
    <w:rsid w:val="00C82017"/>
    <w:rsid w:val="00CA089B"/>
    <w:rsid w:val="00CA74C8"/>
    <w:rsid w:val="00CB07B1"/>
    <w:rsid w:val="00CB1334"/>
    <w:rsid w:val="00CB4095"/>
    <w:rsid w:val="00CB5DF9"/>
    <w:rsid w:val="00CC59FC"/>
    <w:rsid w:val="00CD11DF"/>
    <w:rsid w:val="00CD2434"/>
    <w:rsid w:val="00CD36F9"/>
    <w:rsid w:val="00CD7E7C"/>
    <w:rsid w:val="00CE2335"/>
    <w:rsid w:val="00CE6F8B"/>
    <w:rsid w:val="00CE7855"/>
    <w:rsid w:val="00CF29F8"/>
    <w:rsid w:val="00CF5DED"/>
    <w:rsid w:val="00CF7096"/>
    <w:rsid w:val="00D05B90"/>
    <w:rsid w:val="00D0671A"/>
    <w:rsid w:val="00D07C4A"/>
    <w:rsid w:val="00D12129"/>
    <w:rsid w:val="00D12C87"/>
    <w:rsid w:val="00D132A3"/>
    <w:rsid w:val="00D13D79"/>
    <w:rsid w:val="00D15D86"/>
    <w:rsid w:val="00D167C2"/>
    <w:rsid w:val="00D16880"/>
    <w:rsid w:val="00D20BAB"/>
    <w:rsid w:val="00D2390E"/>
    <w:rsid w:val="00D244B0"/>
    <w:rsid w:val="00D258EC"/>
    <w:rsid w:val="00D2648A"/>
    <w:rsid w:val="00D277AE"/>
    <w:rsid w:val="00D27E07"/>
    <w:rsid w:val="00D346C3"/>
    <w:rsid w:val="00D34A87"/>
    <w:rsid w:val="00D36E9E"/>
    <w:rsid w:val="00D463E7"/>
    <w:rsid w:val="00D5018D"/>
    <w:rsid w:val="00D5069F"/>
    <w:rsid w:val="00D5121A"/>
    <w:rsid w:val="00D5238E"/>
    <w:rsid w:val="00D5240E"/>
    <w:rsid w:val="00D53930"/>
    <w:rsid w:val="00D559B1"/>
    <w:rsid w:val="00D56134"/>
    <w:rsid w:val="00D56C9E"/>
    <w:rsid w:val="00D5755B"/>
    <w:rsid w:val="00D6370C"/>
    <w:rsid w:val="00D66EA3"/>
    <w:rsid w:val="00D70D54"/>
    <w:rsid w:val="00D71F9B"/>
    <w:rsid w:val="00D73607"/>
    <w:rsid w:val="00D73C00"/>
    <w:rsid w:val="00D81C9D"/>
    <w:rsid w:val="00D82233"/>
    <w:rsid w:val="00D86EED"/>
    <w:rsid w:val="00D9091A"/>
    <w:rsid w:val="00D94689"/>
    <w:rsid w:val="00D94FA9"/>
    <w:rsid w:val="00DA18BB"/>
    <w:rsid w:val="00DA1A33"/>
    <w:rsid w:val="00DA6402"/>
    <w:rsid w:val="00DA67B7"/>
    <w:rsid w:val="00DA68BE"/>
    <w:rsid w:val="00DB15FD"/>
    <w:rsid w:val="00DB3104"/>
    <w:rsid w:val="00DC0C64"/>
    <w:rsid w:val="00DC116A"/>
    <w:rsid w:val="00DC3165"/>
    <w:rsid w:val="00DD38BA"/>
    <w:rsid w:val="00DD4B9A"/>
    <w:rsid w:val="00DD4EA2"/>
    <w:rsid w:val="00DD55A8"/>
    <w:rsid w:val="00DD7F3E"/>
    <w:rsid w:val="00DE5317"/>
    <w:rsid w:val="00DF23A1"/>
    <w:rsid w:val="00DF4C94"/>
    <w:rsid w:val="00DF62C5"/>
    <w:rsid w:val="00DF78D9"/>
    <w:rsid w:val="00DF7AA2"/>
    <w:rsid w:val="00E00BF9"/>
    <w:rsid w:val="00E014DD"/>
    <w:rsid w:val="00E01E58"/>
    <w:rsid w:val="00E023E6"/>
    <w:rsid w:val="00E0328F"/>
    <w:rsid w:val="00E1012B"/>
    <w:rsid w:val="00E13004"/>
    <w:rsid w:val="00E163B7"/>
    <w:rsid w:val="00E210A2"/>
    <w:rsid w:val="00E23DD2"/>
    <w:rsid w:val="00E23E61"/>
    <w:rsid w:val="00E2668B"/>
    <w:rsid w:val="00E27321"/>
    <w:rsid w:val="00E31A56"/>
    <w:rsid w:val="00E3685A"/>
    <w:rsid w:val="00E50A83"/>
    <w:rsid w:val="00E53944"/>
    <w:rsid w:val="00E53A2F"/>
    <w:rsid w:val="00E56A43"/>
    <w:rsid w:val="00E57ADA"/>
    <w:rsid w:val="00E6078D"/>
    <w:rsid w:val="00E61B2B"/>
    <w:rsid w:val="00E62B2C"/>
    <w:rsid w:val="00E632D5"/>
    <w:rsid w:val="00E6517D"/>
    <w:rsid w:val="00E6786C"/>
    <w:rsid w:val="00E7167E"/>
    <w:rsid w:val="00E754B1"/>
    <w:rsid w:val="00E7622D"/>
    <w:rsid w:val="00E76E38"/>
    <w:rsid w:val="00E7735E"/>
    <w:rsid w:val="00E7752F"/>
    <w:rsid w:val="00E77A38"/>
    <w:rsid w:val="00E83E37"/>
    <w:rsid w:val="00E90965"/>
    <w:rsid w:val="00E91CB2"/>
    <w:rsid w:val="00E9220C"/>
    <w:rsid w:val="00E92271"/>
    <w:rsid w:val="00E934CB"/>
    <w:rsid w:val="00E96D3E"/>
    <w:rsid w:val="00E971CE"/>
    <w:rsid w:val="00EA794A"/>
    <w:rsid w:val="00EB6AD7"/>
    <w:rsid w:val="00EC08CE"/>
    <w:rsid w:val="00EC3570"/>
    <w:rsid w:val="00EC5301"/>
    <w:rsid w:val="00EC5C76"/>
    <w:rsid w:val="00EC6D18"/>
    <w:rsid w:val="00ED0F3C"/>
    <w:rsid w:val="00ED19BF"/>
    <w:rsid w:val="00EE1284"/>
    <w:rsid w:val="00EE384A"/>
    <w:rsid w:val="00EE6EAB"/>
    <w:rsid w:val="00EF32E5"/>
    <w:rsid w:val="00EF4012"/>
    <w:rsid w:val="00F00032"/>
    <w:rsid w:val="00F02EB2"/>
    <w:rsid w:val="00F075ED"/>
    <w:rsid w:val="00F15183"/>
    <w:rsid w:val="00F15C67"/>
    <w:rsid w:val="00F161E8"/>
    <w:rsid w:val="00F22920"/>
    <w:rsid w:val="00F22CBB"/>
    <w:rsid w:val="00F24F61"/>
    <w:rsid w:val="00F30DE4"/>
    <w:rsid w:val="00F32253"/>
    <w:rsid w:val="00F32B36"/>
    <w:rsid w:val="00F36A97"/>
    <w:rsid w:val="00F45E5B"/>
    <w:rsid w:val="00F50207"/>
    <w:rsid w:val="00F52064"/>
    <w:rsid w:val="00F5517B"/>
    <w:rsid w:val="00F55501"/>
    <w:rsid w:val="00F60A52"/>
    <w:rsid w:val="00F64047"/>
    <w:rsid w:val="00F64172"/>
    <w:rsid w:val="00F6564F"/>
    <w:rsid w:val="00F66D44"/>
    <w:rsid w:val="00F67BE4"/>
    <w:rsid w:val="00F72D86"/>
    <w:rsid w:val="00F754A4"/>
    <w:rsid w:val="00F75DF7"/>
    <w:rsid w:val="00F81EDC"/>
    <w:rsid w:val="00F9090A"/>
    <w:rsid w:val="00F91178"/>
    <w:rsid w:val="00F96D9C"/>
    <w:rsid w:val="00FA1945"/>
    <w:rsid w:val="00FA49D3"/>
    <w:rsid w:val="00FA7E98"/>
    <w:rsid w:val="00FB09EA"/>
    <w:rsid w:val="00FB0E85"/>
    <w:rsid w:val="00FB1D2F"/>
    <w:rsid w:val="00FB43EB"/>
    <w:rsid w:val="00FB7039"/>
    <w:rsid w:val="00FC1373"/>
    <w:rsid w:val="00FD0513"/>
    <w:rsid w:val="00FD06EB"/>
    <w:rsid w:val="00FD41B7"/>
    <w:rsid w:val="00FD5F46"/>
    <w:rsid w:val="00FD7A5A"/>
    <w:rsid w:val="00FE0694"/>
    <w:rsid w:val="00FE0711"/>
    <w:rsid w:val="00FE0E91"/>
    <w:rsid w:val="00FE114D"/>
    <w:rsid w:val="00FE1879"/>
    <w:rsid w:val="00FE39D0"/>
    <w:rsid w:val="00FE3B74"/>
    <w:rsid w:val="00FE4AB6"/>
    <w:rsid w:val="00FE5835"/>
    <w:rsid w:val="00FE58EC"/>
    <w:rsid w:val="00FF1026"/>
    <w:rsid w:val="00FF5566"/>
    <w:rsid w:val="00FF749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A1BE"/>
  <w15:docId w15:val="{187E0CAA-B9A5-4BAE-94FD-8392B8D4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7F4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zh-TW"/>
    </w:rPr>
  </w:style>
  <w:style w:type="paragraph" w:styleId="Nadpis1">
    <w:name w:val="heading 1"/>
    <w:next w:val="Normln"/>
    <w:uiPriority w:val="9"/>
    <w:qFormat/>
    <w:pPr>
      <w:keepNext/>
      <w:keepLines/>
      <w:spacing w:before="240" w:line="259" w:lineRule="auto"/>
      <w:jc w:val="center"/>
      <w:outlineLvl w:val="0"/>
    </w:pPr>
    <w:rPr>
      <w:rFonts w:ascii="Calibri Light" w:eastAsia="Calibri Light" w:hAnsi="Calibri Light" w:cs="Calibri Light"/>
      <w:b/>
      <w:bCs/>
      <w:color w:val="000000"/>
      <w:sz w:val="40"/>
      <w:szCs w:val="40"/>
      <w:u w:color="000000"/>
    </w:rPr>
  </w:style>
  <w:style w:type="paragraph" w:styleId="Nadpis2">
    <w:name w:val="heading 2"/>
    <w:next w:val="Normln"/>
    <w:uiPriority w:val="9"/>
    <w:unhideWhenUsed/>
    <w:qFormat/>
    <w:pPr>
      <w:keepNext/>
      <w:keepLines/>
      <w:spacing w:before="40" w:line="259" w:lineRule="auto"/>
      <w:jc w:val="center"/>
      <w:outlineLvl w:val="1"/>
    </w:pPr>
    <w:rPr>
      <w:rFonts w:ascii="Calibri Light" w:eastAsia="Calibri Light" w:hAnsi="Calibri Light" w:cs="Calibri Light"/>
      <w:b/>
      <w:bCs/>
      <w:color w:val="000000"/>
      <w:sz w:val="36"/>
      <w:szCs w:val="36"/>
      <w:u w:color="000000"/>
    </w:rPr>
  </w:style>
  <w:style w:type="paragraph" w:styleId="Nadpis3">
    <w:name w:val="heading 3"/>
    <w:next w:val="Normln"/>
    <w:uiPriority w:val="9"/>
    <w:unhideWhenUsed/>
    <w:qFormat/>
    <w:pPr>
      <w:keepNext/>
      <w:keepLines/>
      <w:spacing w:before="240" w:after="240" w:line="259" w:lineRule="auto"/>
      <w:jc w:val="both"/>
      <w:outlineLvl w:val="2"/>
    </w:pPr>
    <w:rPr>
      <w:rFonts w:ascii="Montserrat Light" w:eastAsia="Montserrat Light" w:hAnsi="Montserrat Light" w:cs="Montserrat Light"/>
      <w:b/>
      <w:bC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Zhlav">
    <w:name w:val="header"/>
    <w:pPr>
      <w:tabs>
        <w:tab w:val="center" w:pos="4536"/>
        <w:tab w:val="right" w:pos="9072"/>
      </w:tabs>
      <w:spacing w:before="120" w:after="160" w:line="259" w:lineRule="auto"/>
      <w:jc w:val="both"/>
    </w:pPr>
    <w:rPr>
      <w:rFonts w:ascii="Montserrat Light" w:eastAsia="Montserrat Light" w:hAnsi="Montserrat Light" w:cs="Montserrat Light"/>
      <w:color w:val="000000"/>
      <w:u w:color="000000"/>
    </w:rPr>
  </w:style>
  <w:style w:type="paragraph" w:styleId="Zpat">
    <w:name w:val="footer"/>
    <w:pPr>
      <w:tabs>
        <w:tab w:val="center" w:pos="4536"/>
        <w:tab w:val="right" w:pos="9072"/>
      </w:tabs>
      <w:spacing w:before="120" w:after="160" w:line="259" w:lineRule="auto"/>
      <w:jc w:val="both"/>
    </w:pPr>
    <w:rPr>
      <w:rFonts w:ascii="Montserrat Light" w:eastAsia="Montserrat Light" w:hAnsi="Montserrat Light" w:cs="Montserrat Light"/>
      <w:color w:val="000000"/>
      <w:u w:color="000000"/>
    </w:rPr>
  </w:style>
  <w:style w:type="character" w:customStyle="1" w:styleId="s4">
    <w:name w:val="s4"/>
  </w:style>
  <w:style w:type="paragraph" w:styleId="Nadpisobsahu">
    <w:name w:val="TOC Heading"/>
    <w:next w:val="Normln"/>
    <w:uiPriority w:val="39"/>
    <w:qFormat/>
    <w:pPr>
      <w:keepNext/>
      <w:keepLines/>
      <w:spacing w:before="240" w:line="259" w:lineRule="auto"/>
      <w:jc w:val="center"/>
    </w:pPr>
    <w:rPr>
      <w:rFonts w:ascii="Calibri Light" w:eastAsia="Calibri Light" w:hAnsi="Calibri Light" w:cs="Calibri Light"/>
      <w:b/>
      <w:bCs/>
      <w:color w:val="000000"/>
      <w:sz w:val="40"/>
      <w:szCs w:val="40"/>
      <w:u w:color="000000"/>
    </w:rPr>
  </w:style>
  <w:style w:type="paragraph" w:styleId="Obsah1">
    <w:name w:val="toc 1"/>
    <w:uiPriority w:val="39"/>
    <w:pPr>
      <w:tabs>
        <w:tab w:val="right" w:leader="dot" w:pos="9046"/>
      </w:tabs>
      <w:spacing w:after="100" w:line="259" w:lineRule="auto"/>
      <w:jc w:val="both"/>
    </w:pPr>
    <w:rPr>
      <w:rFonts w:ascii="Calibri" w:eastAsia="Calibri" w:hAnsi="Calibri" w:cs="Calibri"/>
      <w:color w:val="000000"/>
      <w:sz w:val="22"/>
      <w:szCs w:val="22"/>
      <w:u w:color="000000"/>
    </w:rPr>
  </w:style>
  <w:style w:type="paragraph" w:styleId="Obsah2">
    <w:name w:val="toc 2"/>
    <w:uiPriority w:val="39"/>
    <w:pPr>
      <w:tabs>
        <w:tab w:val="left" w:pos="540"/>
        <w:tab w:val="right" w:leader="dot" w:pos="9046"/>
      </w:tabs>
      <w:spacing w:after="100" w:line="259" w:lineRule="auto"/>
      <w:ind w:left="220"/>
      <w:jc w:val="both"/>
    </w:pPr>
    <w:rPr>
      <w:rFonts w:ascii="Calibri" w:eastAsia="Calibri" w:hAnsi="Calibri" w:cs="Calibri"/>
      <w:color w:val="000000"/>
      <w:sz w:val="22"/>
      <w:szCs w:val="22"/>
      <w:u w:color="000000"/>
    </w:rPr>
  </w:style>
  <w:style w:type="paragraph" w:styleId="Obsah3">
    <w:name w:val="toc 3"/>
    <w:uiPriority w:val="39"/>
    <w:pPr>
      <w:tabs>
        <w:tab w:val="right" w:leader="dot" w:pos="9046"/>
      </w:tabs>
      <w:spacing w:after="100" w:line="259" w:lineRule="auto"/>
      <w:ind w:left="540"/>
      <w:jc w:val="both"/>
    </w:pPr>
    <w:rPr>
      <w:rFonts w:ascii="Calibri" w:eastAsia="Calibri" w:hAnsi="Calibri" w:cs="Calibri"/>
      <w:color w:val="000000"/>
      <w:sz w:val="22"/>
      <w:szCs w:val="22"/>
      <w:u w:color="000000"/>
    </w:rPr>
  </w:style>
  <w:style w:type="numbering" w:customStyle="1" w:styleId="Importovanstyl1">
    <w:name w:val="Importovaný styl 1"/>
    <w:pPr>
      <w:numPr>
        <w:numId w:val="3"/>
      </w:numPr>
    </w:pPr>
  </w:style>
  <w:style w:type="paragraph" w:styleId="Odstavecseseznamem">
    <w:name w:val="List Paragraph"/>
    <w:uiPriority w:val="34"/>
    <w:qFormat/>
    <w:pPr>
      <w:spacing w:before="120" w:after="160" w:line="252" w:lineRule="auto"/>
      <w:ind w:left="720"/>
      <w:jc w:val="both"/>
    </w:pPr>
    <w:rPr>
      <w:rFonts w:ascii="Calibri" w:eastAsia="Calibri" w:hAnsi="Calibri" w:cs="Calibri"/>
      <w:color w:val="000000"/>
      <w:sz w:val="22"/>
      <w:szCs w:val="22"/>
      <w:u w:color="000000"/>
      <w:lang w:val="en-US"/>
    </w:rPr>
  </w:style>
  <w:style w:type="numbering" w:customStyle="1" w:styleId="Importovanstyl2">
    <w:name w:val="Importovaný styl 2"/>
    <w:pPr>
      <w:numPr>
        <w:numId w:val="5"/>
      </w:numPr>
    </w:pPr>
  </w:style>
  <w:style w:type="numbering" w:customStyle="1" w:styleId="Importovanstyl3">
    <w:name w:val="Importovaný styl 3"/>
    <w:pPr>
      <w:numPr>
        <w:numId w:val="8"/>
      </w:numPr>
    </w:pPr>
  </w:style>
  <w:style w:type="paragraph" w:styleId="Textbubliny">
    <w:name w:val="Balloon Text"/>
    <w:basedOn w:val="Normln"/>
    <w:link w:val="TextbublinyChar"/>
    <w:uiPriority w:val="99"/>
    <w:semiHidden/>
    <w:unhideWhenUsed/>
    <w:rsid w:val="003104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046B"/>
    <w:rPr>
      <w:rFonts w:ascii="Segoe UI" w:eastAsia="Montserrat Light" w:hAnsi="Segoe UI" w:cs="Segoe UI"/>
      <w:color w:val="000000"/>
      <w:sz w:val="18"/>
      <w:szCs w:val="18"/>
      <w:u w:color="000000"/>
    </w:rPr>
  </w:style>
  <w:style w:type="character" w:styleId="Odkaznakoment">
    <w:name w:val="annotation reference"/>
    <w:basedOn w:val="Standardnpsmoodstavce"/>
    <w:uiPriority w:val="99"/>
    <w:semiHidden/>
    <w:unhideWhenUsed/>
    <w:rsid w:val="00FD7A5A"/>
    <w:rPr>
      <w:sz w:val="16"/>
      <w:szCs w:val="16"/>
    </w:rPr>
  </w:style>
  <w:style w:type="paragraph" w:styleId="Textkomente">
    <w:name w:val="annotation text"/>
    <w:basedOn w:val="Normln"/>
    <w:link w:val="TextkomenteChar"/>
    <w:uiPriority w:val="99"/>
    <w:unhideWhenUsed/>
    <w:rsid w:val="00FD7A5A"/>
  </w:style>
  <w:style w:type="character" w:customStyle="1" w:styleId="TextkomenteChar">
    <w:name w:val="Text komentáře Char"/>
    <w:basedOn w:val="Standardnpsmoodstavce"/>
    <w:link w:val="Textkomente"/>
    <w:uiPriority w:val="99"/>
    <w:rsid w:val="00FD7A5A"/>
    <w:rPr>
      <w:rFonts w:ascii="Montserrat Light" w:eastAsia="Montserrat Light" w:hAnsi="Montserrat Light" w:cs="Montserrat Light"/>
      <w:color w:val="000000"/>
      <w:u w:color="000000"/>
    </w:rPr>
  </w:style>
  <w:style w:type="paragraph" w:styleId="Pedmtkomente">
    <w:name w:val="annotation subject"/>
    <w:basedOn w:val="Textkomente"/>
    <w:next w:val="Textkomente"/>
    <w:link w:val="PedmtkomenteChar"/>
    <w:uiPriority w:val="99"/>
    <w:semiHidden/>
    <w:unhideWhenUsed/>
    <w:rsid w:val="00C80332"/>
    <w:rPr>
      <w:b/>
      <w:bCs/>
    </w:rPr>
  </w:style>
  <w:style w:type="character" w:customStyle="1" w:styleId="PedmtkomenteChar">
    <w:name w:val="Předmět komentáře Char"/>
    <w:basedOn w:val="TextkomenteChar"/>
    <w:link w:val="Pedmtkomente"/>
    <w:uiPriority w:val="99"/>
    <w:semiHidden/>
    <w:rsid w:val="00C80332"/>
    <w:rPr>
      <w:rFonts w:ascii="Montserrat Light" w:eastAsia="Montserrat Light" w:hAnsi="Montserrat Light" w:cs="Montserrat Light"/>
      <w:b/>
      <w:bCs/>
      <w:color w:val="000000"/>
      <w:u w:color="000000"/>
    </w:rPr>
  </w:style>
  <w:style w:type="paragraph" w:styleId="Normlnweb">
    <w:name w:val="Normal (Web)"/>
    <w:basedOn w:val="Normln"/>
    <w:uiPriority w:val="99"/>
    <w:semiHidden/>
    <w:unhideWhenUsed/>
    <w:rsid w:val="00616A59"/>
    <w:pPr>
      <w:spacing w:before="100" w:beforeAutospacing="1" w:after="100" w:afterAutospacing="1"/>
    </w:pPr>
    <w:rPr>
      <w:rFonts w:ascii="Calibri" w:eastAsiaTheme="minorEastAsia" w:hAnsi="Calibri" w:cs="Calibri"/>
      <w:sz w:val="22"/>
      <w:szCs w:val="22"/>
      <w:lang w:eastAsia="en-US"/>
    </w:rPr>
  </w:style>
  <w:style w:type="paragraph" w:styleId="Revize">
    <w:name w:val="Revision"/>
    <w:hidden/>
    <w:uiPriority w:val="99"/>
    <w:semiHidden/>
    <w:rsid w:val="00107DD7"/>
    <w:pPr>
      <w:pBdr>
        <w:top w:val="none" w:sz="0" w:space="0" w:color="auto"/>
        <w:left w:val="none" w:sz="0" w:space="0" w:color="auto"/>
        <w:bottom w:val="none" w:sz="0" w:space="0" w:color="auto"/>
        <w:right w:val="none" w:sz="0" w:space="0" w:color="auto"/>
        <w:between w:val="none" w:sz="0" w:space="0" w:color="auto"/>
        <w:bar w:val="none" w:sz="0" w:color="auto"/>
      </w:pBdr>
    </w:pPr>
    <w:rPr>
      <w:rFonts w:ascii="Montserrat Light" w:eastAsia="Montserrat Light" w:hAnsi="Montserrat Light" w:cs="Montserrat Light"/>
      <w:color w:val="000000"/>
      <w:u w:color="000000"/>
    </w:rPr>
  </w:style>
  <w:style w:type="paragraph" w:customStyle="1" w:styleId="xmsonormal">
    <w:name w:val="x_msonormal"/>
    <w:basedOn w:val="Normln"/>
    <w:rsid w:val="00466951"/>
    <w:pPr>
      <w:spacing w:before="100" w:beforeAutospacing="1" w:after="100" w:afterAutospacing="1"/>
    </w:pPr>
  </w:style>
  <w:style w:type="paragraph" w:customStyle="1" w:styleId="xxmsolistparagraph">
    <w:name w:val="x_x_msolistparagraph"/>
    <w:basedOn w:val="Normln"/>
    <w:rsid w:val="00933A3E"/>
    <w:pPr>
      <w:spacing w:before="100" w:beforeAutospacing="1" w:after="100" w:afterAutospacing="1"/>
    </w:pPr>
  </w:style>
  <w:style w:type="character" w:styleId="Zdraznn">
    <w:name w:val="Emphasis"/>
    <w:basedOn w:val="Standardnpsmoodstavce"/>
    <w:uiPriority w:val="20"/>
    <w:qFormat/>
    <w:rsid w:val="00933A3E"/>
    <w:rPr>
      <w:i/>
      <w:iCs/>
    </w:rPr>
  </w:style>
  <w:style w:type="paragraph" w:customStyle="1" w:styleId="xxmsonormal">
    <w:name w:val="x_x_msonormal"/>
    <w:basedOn w:val="Normln"/>
    <w:rsid w:val="00933A3E"/>
    <w:pPr>
      <w:spacing w:before="100" w:beforeAutospacing="1" w:after="100" w:afterAutospacing="1"/>
    </w:pPr>
  </w:style>
  <w:style w:type="character" w:styleId="Zstupntext">
    <w:name w:val="Placeholder Text"/>
    <w:basedOn w:val="Standardnpsmoodstavce"/>
    <w:uiPriority w:val="99"/>
    <w:semiHidden/>
    <w:rsid w:val="00716680"/>
    <w:rPr>
      <w:color w:val="808080"/>
    </w:rPr>
  </w:style>
  <w:style w:type="character" w:styleId="Sledovanodkaz">
    <w:name w:val="FollowedHyperlink"/>
    <w:basedOn w:val="Standardnpsmoodstavce"/>
    <w:uiPriority w:val="99"/>
    <w:semiHidden/>
    <w:unhideWhenUsed/>
    <w:rsid w:val="00D6370C"/>
    <w:rPr>
      <w:color w:val="FF00FF" w:themeColor="followedHyperlink"/>
      <w:u w:val="single"/>
    </w:rPr>
  </w:style>
  <w:style w:type="character" w:styleId="Nevyeenzmnka">
    <w:name w:val="Unresolved Mention"/>
    <w:basedOn w:val="Standardnpsmoodstavce"/>
    <w:uiPriority w:val="99"/>
    <w:semiHidden/>
    <w:unhideWhenUsed/>
    <w:rsid w:val="00D6370C"/>
    <w:rPr>
      <w:color w:val="605E5C"/>
      <w:shd w:val="clear" w:color="auto" w:fill="E1DFDD"/>
    </w:rPr>
  </w:style>
  <w:style w:type="character" w:customStyle="1" w:styleId="xgmail-m-3579370226372282034gmail-m-4997268708741835464apple-converted-space">
    <w:name w:val="x_gmail-m-3579370226372282034gmail-m-4997268708741835464apple-converted-space"/>
    <w:basedOn w:val="Standardnpsmoodstavce"/>
    <w:rsid w:val="00B65457"/>
  </w:style>
  <w:style w:type="paragraph" w:styleId="Textpoznpodarou">
    <w:name w:val="footnote text"/>
    <w:basedOn w:val="Normln"/>
    <w:link w:val="TextpoznpodarouChar"/>
    <w:uiPriority w:val="99"/>
    <w:semiHidden/>
    <w:unhideWhenUsed/>
    <w:rsid w:val="00B65457"/>
    <w:rPr>
      <w:lang w:val="en-US"/>
    </w:rPr>
  </w:style>
  <w:style w:type="character" w:customStyle="1" w:styleId="TextpoznpodarouChar">
    <w:name w:val="Text pozn. pod čarou Char"/>
    <w:basedOn w:val="Standardnpsmoodstavce"/>
    <w:link w:val="Textpoznpodarou"/>
    <w:uiPriority w:val="99"/>
    <w:semiHidden/>
    <w:rsid w:val="00B65457"/>
    <w:rPr>
      <w:rFonts w:eastAsia="Times New Roman"/>
      <w:bdr w:val="none" w:sz="0" w:space="0" w:color="auto"/>
      <w:lang w:val="en-US" w:eastAsia="zh-TW"/>
    </w:rPr>
  </w:style>
  <w:style w:type="character" w:styleId="Znakapoznpodarou">
    <w:name w:val="footnote reference"/>
    <w:basedOn w:val="Standardnpsmoodstavce"/>
    <w:uiPriority w:val="99"/>
    <w:semiHidden/>
    <w:unhideWhenUsed/>
    <w:rsid w:val="00B65457"/>
    <w:rPr>
      <w:vertAlign w:val="superscript"/>
    </w:rPr>
  </w:style>
  <w:style w:type="character" w:customStyle="1" w:styleId="DeltaViewFormatChange">
    <w:name w:val="DeltaView Format Change"/>
    <w:rsid w:val="007A7F42"/>
    <w:rPr>
      <w:color w:val="800080"/>
      <w:spacing w:val="0"/>
    </w:rPr>
  </w:style>
  <w:style w:type="paragraph" w:customStyle="1" w:styleId="DocText">
    <w:name w:val="DocText"/>
    <w:basedOn w:val="Normln"/>
    <w:rsid w:val="007A7F42"/>
    <w:pPr>
      <w:numPr>
        <w:numId w:val="24"/>
      </w:numPr>
      <w:spacing w:before="240" w:line="260" w:lineRule="atLeast"/>
      <w:jc w:val="both"/>
    </w:pPr>
    <w:rPr>
      <w:rFonts w:eastAsiaTheme="minorHAnsi"/>
      <w:sz w:val="20"/>
      <w:szCs w:val="22"/>
      <w:lang w:val="en-GB" w:eastAsia="en-US"/>
    </w:rPr>
  </w:style>
  <w:style w:type="paragraph" w:customStyle="1" w:styleId="DocTextL1">
    <w:name w:val="DocTextL1"/>
    <w:basedOn w:val="DocText"/>
    <w:rsid w:val="007A7F42"/>
    <w:pPr>
      <w:numPr>
        <w:ilvl w:val="1"/>
      </w:numPr>
    </w:pPr>
  </w:style>
  <w:style w:type="paragraph" w:customStyle="1" w:styleId="DocTextL2">
    <w:name w:val="DocTextL2"/>
    <w:basedOn w:val="DocText"/>
    <w:rsid w:val="007A7F42"/>
    <w:pPr>
      <w:numPr>
        <w:ilvl w:val="2"/>
      </w:numPr>
    </w:pPr>
  </w:style>
  <w:style w:type="paragraph" w:customStyle="1" w:styleId="DocTextL3">
    <w:name w:val="DocTextL3"/>
    <w:basedOn w:val="DocText"/>
    <w:rsid w:val="007A7F42"/>
    <w:pPr>
      <w:numPr>
        <w:ilvl w:val="3"/>
      </w:numPr>
    </w:pPr>
  </w:style>
  <w:style w:type="paragraph" w:customStyle="1" w:styleId="DocTextL4">
    <w:name w:val="DocTextL4"/>
    <w:basedOn w:val="DocText"/>
    <w:rsid w:val="007A7F42"/>
    <w:pPr>
      <w:numPr>
        <w:ilvl w:val="4"/>
      </w:numPr>
    </w:pPr>
  </w:style>
  <w:style w:type="paragraph" w:customStyle="1" w:styleId="DocTextL5">
    <w:name w:val="DocTextL5"/>
    <w:basedOn w:val="DocText"/>
    <w:rsid w:val="007A7F42"/>
    <w:pPr>
      <w:numPr>
        <w:ilvl w:val="5"/>
      </w:numPr>
    </w:pPr>
  </w:style>
  <w:style w:type="paragraph" w:customStyle="1" w:styleId="DocTextL6">
    <w:name w:val="DocTextL6"/>
    <w:basedOn w:val="DocText"/>
    <w:rsid w:val="007A7F42"/>
    <w:pPr>
      <w:numPr>
        <w:ilvl w:val="6"/>
      </w:numPr>
    </w:pPr>
  </w:style>
  <w:style w:type="paragraph" w:customStyle="1" w:styleId="DocTextL7">
    <w:name w:val="DocTextL7"/>
    <w:basedOn w:val="DocText"/>
    <w:rsid w:val="007A7F42"/>
    <w:pPr>
      <w:numPr>
        <w:ilvl w:val="7"/>
      </w:numPr>
    </w:pPr>
  </w:style>
  <w:style w:type="paragraph" w:customStyle="1" w:styleId="DocTextL8">
    <w:name w:val="DocTextL8"/>
    <w:basedOn w:val="DocText"/>
    <w:rsid w:val="007A7F42"/>
    <w:pPr>
      <w:numPr>
        <w:ilvl w:val="8"/>
      </w:numPr>
    </w:pPr>
  </w:style>
  <w:style w:type="table" w:styleId="Mkatabulky">
    <w:name w:val="Table Grid"/>
    <w:basedOn w:val="Normlntabulka"/>
    <w:uiPriority w:val="39"/>
    <w:rsid w:val="007A7F4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ientNormal">
    <w:name w:val="ClientNormal"/>
    <w:link w:val="ClientNormalChar"/>
    <w:rsid w:val="00660EF7"/>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szCs w:val="22"/>
      <w:bdr w:val="none" w:sz="0" w:space="0" w:color="auto"/>
      <w:lang w:val="en-GB" w:eastAsia="en-US"/>
    </w:rPr>
  </w:style>
  <w:style w:type="character" w:customStyle="1" w:styleId="ClientNormalChar">
    <w:name w:val="ClientNormal Char"/>
    <w:basedOn w:val="Standardnpsmoodstavce"/>
    <w:link w:val="ClientNormal"/>
    <w:rsid w:val="00660EF7"/>
    <w:rPr>
      <w:rFonts w:eastAsiaTheme="minorHAnsi"/>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7952">
      <w:bodyDiv w:val="1"/>
      <w:marLeft w:val="0"/>
      <w:marRight w:val="0"/>
      <w:marTop w:val="0"/>
      <w:marBottom w:val="0"/>
      <w:divBdr>
        <w:top w:val="none" w:sz="0" w:space="0" w:color="auto"/>
        <w:left w:val="none" w:sz="0" w:space="0" w:color="auto"/>
        <w:bottom w:val="none" w:sz="0" w:space="0" w:color="auto"/>
        <w:right w:val="none" w:sz="0" w:space="0" w:color="auto"/>
      </w:divBdr>
    </w:div>
    <w:div w:id="287014286">
      <w:bodyDiv w:val="1"/>
      <w:marLeft w:val="0"/>
      <w:marRight w:val="0"/>
      <w:marTop w:val="0"/>
      <w:marBottom w:val="0"/>
      <w:divBdr>
        <w:top w:val="none" w:sz="0" w:space="0" w:color="auto"/>
        <w:left w:val="none" w:sz="0" w:space="0" w:color="auto"/>
        <w:bottom w:val="none" w:sz="0" w:space="0" w:color="auto"/>
        <w:right w:val="none" w:sz="0" w:space="0" w:color="auto"/>
      </w:divBdr>
    </w:div>
    <w:div w:id="288753067">
      <w:bodyDiv w:val="1"/>
      <w:marLeft w:val="0"/>
      <w:marRight w:val="0"/>
      <w:marTop w:val="0"/>
      <w:marBottom w:val="0"/>
      <w:divBdr>
        <w:top w:val="none" w:sz="0" w:space="0" w:color="auto"/>
        <w:left w:val="none" w:sz="0" w:space="0" w:color="auto"/>
        <w:bottom w:val="none" w:sz="0" w:space="0" w:color="auto"/>
        <w:right w:val="none" w:sz="0" w:space="0" w:color="auto"/>
      </w:divBdr>
    </w:div>
    <w:div w:id="449907610">
      <w:bodyDiv w:val="1"/>
      <w:marLeft w:val="0"/>
      <w:marRight w:val="0"/>
      <w:marTop w:val="0"/>
      <w:marBottom w:val="0"/>
      <w:divBdr>
        <w:top w:val="none" w:sz="0" w:space="0" w:color="auto"/>
        <w:left w:val="none" w:sz="0" w:space="0" w:color="auto"/>
        <w:bottom w:val="none" w:sz="0" w:space="0" w:color="auto"/>
        <w:right w:val="none" w:sz="0" w:space="0" w:color="auto"/>
      </w:divBdr>
    </w:div>
    <w:div w:id="466704622">
      <w:bodyDiv w:val="1"/>
      <w:marLeft w:val="0"/>
      <w:marRight w:val="0"/>
      <w:marTop w:val="0"/>
      <w:marBottom w:val="0"/>
      <w:divBdr>
        <w:top w:val="none" w:sz="0" w:space="0" w:color="auto"/>
        <w:left w:val="none" w:sz="0" w:space="0" w:color="auto"/>
        <w:bottom w:val="none" w:sz="0" w:space="0" w:color="auto"/>
        <w:right w:val="none" w:sz="0" w:space="0" w:color="auto"/>
      </w:divBdr>
    </w:div>
    <w:div w:id="870609143">
      <w:bodyDiv w:val="1"/>
      <w:marLeft w:val="0"/>
      <w:marRight w:val="0"/>
      <w:marTop w:val="0"/>
      <w:marBottom w:val="0"/>
      <w:divBdr>
        <w:top w:val="none" w:sz="0" w:space="0" w:color="auto"/>
        <w:left w:val="none" w:sz="0" w:space="0" w:color="auto"/>
        <w:bottom w:val="none" w:sz="0" w:space="0" w:color="auto"/>
        <w:right w:val="none" w:sz="0" w:space="0" w:color="auto"/>
      </w:divBdr>
    </w:div>
    <w:div w:id="1125124208">
      <w:bodyDiv w:val="1"/>
      <w:marLeft w:val="0"/>
      <w:marRight w:val="0"/>
      <w:marTop w:val="0"/>
      <w:marBottom w:val="0"/>
      <w:divBdr>
        <w:top w:val="none" w:sz="0" w:space="0" w:color="auto"/>
        <w:left w:val="none" w:sz="0" w:space="0" w:color="auto"/>
        <w:bottom w:val="none" w:sz="0" w:space="0" w:color="auto"/>
        <w:right w:val="none" w:sz="0" w:space="0" w:color="auto"/>
      </w:divBdr>
    </w:div>
    <w:div w:id="1193961416">
      <w:bodyDiv w:val="1"/>
      <w:marLeft w:val="0"/>
      <w:marRight w:val="0"/>
      <w:marTop w:val="0"/>
      <w:marBottom w:val="0"/>
      <w:divBdr>
        <w:top w:val="none" w:sz="0" w:space="0" w:color="auto"/>
        <w:left w:val="none" w:sz="0" w:space="0" w:color="auto"/>
        <w:bottom w:val="none" w:sz="0" w:space="0" w:color="auto"/>
        <w:right w:val="none" w:sz="0" w:space="0" w:color="auto"/>
      </w:divBdr>
    </w:div>
    <w:div w:id="1368725441">
      <w:bodyDiv w:val="1"/>
      <w:marLeft w:val="0"/>
      <w:marRight w:val="0"/>
      <w:marTop w:val="0"/>
      <w:marBottom w:val="0"/>
      <w:divBdr>
        <w:top w:val="none" w:sz="0" w:space="0" w:color="auto"/>
        <w:left w:val="none" w:sz="0" w:space="0" w:color="auto"/>
        <w:bottom w:val="none" w:sz="0" w:space="0" w:color="auto"/>
        <w:right w:val="none" w:sz="0" w:space="0" w:color="auto"/>
      </w:divBdr>
    </w:div>
    <w:div w:id="1811052645">
      <w:bodyDiv w:val="1"/>
      <w:marLeft w:val="0"/>
      <w:marRight w:val="0"/>
      <w:marTop w:val="0"/>
      <w:marBottom w:val="0"/>
      <w:divBdr>
        <w:top w:val="none" w:sz="0" w:space="0" w:color="auto"/>
        <w:left w:val="none" w:sz="0" w:space="0" w:color="auto"/>
        <w:bottom w:val="none" w:sz="0" w:space="0" w:color="auto"/>
        <w:right w:val="none" w:sz="0" w:space="0" w:color="auto"/>
      </w:divBdr>
    </w:div>
    <w:div w:id="1941991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pova.klara@czg.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a@czg.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povaKlara\Documents\Vlastn&#237;%20&#353;ablony%20Office\&#353;ablona.dotx" TargetMode="Externa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a:ea typeface="Helvetica"/>
        <a:cs typeface="Helvetica"/>
      </a:majorFont>
      <a:minorFont>
        <a:latin typeface="Helvetica"/>
        <a:ea typeface="Helvetica"/>
        <a:cs typeface="Helvetica"/>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74316FF801A44294F2967AD37F7E0D" ma:contentTypeVersion="2" ma:contentTypeDescription="Vytvoří nový dokument" ma:contentTypeScope="" ma:versionID="fbd49112fe92b85bb9fcd360736a1c99">
  <xsd:schema xmlns:xsd="http://www.w3.org/2001/XMLSchema" xmlns:xs="http://www.w3.org/2001/XMLSchema" xmlns:p="http://schemas.microsoft.com/office/2006/metadata/properties" xmlns:ns2="7be343bf-2700-4fce-b216-46e2e4feaa37" targetNamespace="http://schemas.microsoft.com/office/2006/metadata/properties" ma:root="true" ma:fieldsID="fa2ccafd27bbefdedbfc8e075d94363e" ns2:_="">
    <xsd:import namespace="7be343bf-2700-4fce-b216-46e2e4feaa3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343bf-2700-4fce-b216-46e2e4fea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E16D9-44B6-4A5F-83CB-B9FAFBE6A4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F09BCF-CB0A-410D-AD52-1330D6053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343bf-2700-4fce-b216-46e2e4fe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9D3913-312A-4AA5-A563-429E07B0C1E0}">
  <ds:schemaRefs>
    <ds:schemaRef ds:uri="http://schemas.microsoft.com/sharepoint/v3/contenttype/forms"/>
  </ds:schemaRefs>
</ds:datastoreItem>
</file>

<file path=customXml/itemProps4.xml><?xml version="1.0" encoding="utf-8"?>
<ds:datastoreItem xmlns:ds="http://schemas.openxmlformats.org/officeDocument/2006/customXml" ds:itemID="{3DEB906A-5C4D-48D2-8CBA-B570ACC90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C:\Users\SipovaKlara\Documents\Vlastní šablony Office\šablona.dotx</Template>
  <TotalTime>1</TotalTime>
  <Pages>4</Pages>
  <Words>1403</Words>
  <Characters>8279</Characters>
  <Application>Microsoft Office Word</Application>
  <DocSecurity>0</DocSecurity>
  <Lines>68</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Sipova Klara</dc:creator>
  <cp:lastModifiedBy>Kristýna Pavlačková</cp:lastModifiedBy>
  <cp:revision>2</cp:revision>
  <cp:lastPrinted>2021-05-25T16:56:00Z</cp:lastPrinted>
  <dcterms:created xsi:type="dcterms:W3CDTF">2021-11-22T14:20:00Z</dcterms:created>
  <dcterms:modified xsi:type="dcterms:W3CDTF">2021-11-22T14:20:00Z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0x0101007F74316FF801A44294F2967AD37F7E0D</vt:lpwstr>
  </property>
</Properties>
</file>